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D2A8" w14:textId="6E9EF672" w:rsidR="00BC7775" w:rsidRDefault="00BC7775" w:rsidP="00BC7775">
      <w:pPr>
        <w:spacing w:after="0" w:line="240" w:lineRule="auto"/>
        <w:ind w:left="3540"/>
        <w:jc w:val="right"/>
        <w:rPr>
          <w:rFonts w:eastAsia="Times New Roman" w:cstheme="minorHAnsi"/>
          <w:i/>
          <w:sz w:val="24"/>
          <w:szCs w:val="24"/>
          <w:lang w:eastAsia="pl-PL"/>
        </w:rPr>
      </w:pPr>
      <w:r w:rsidRPr="00680485">
        <w:rPr>
          <w:rFonts w:eastAsia="Times New Roman" w:cstheme="minorHAnsi"/>
          <w:i/>
          <w:sz w:val="24"/>
          <w:szCs w:val="24"/>
          <w:lang w:eastAsia="pl-PL"/>
        </w:rPr>
        <w:t xml:space="preserve">      Załącznik </w:t>
      </w:r>
      <w:r>
        <w:rPr>
          <w:rFonts w:eastAsia="Times New Roman" w:cstheme="minorHAnsi"/>
          <w:i/>
          <w:sz w:val="24"/>
          <w:szCs w:val="24"/>
          <w:lang w:eastAsia="pl-PL"/>
        </w:rPr>
        <w:br/>
      </w:r>
      <w:r w:rsidRPr="00680485">
        <w:rPr>
          <w:rFonts w:eastAsia="Times New Roman" w:cstheme="minorHAnsi"/>
          <w:i/>
          <w:sz w:val="24"/>
          <w:szCs w:val="24"/>
          <w:lang w:eastAsia="pl-PL"/>
        </w:rPr>
        <w:t xml:space="preserve">do Decyzji Nr </w:t>
      </w:r>
      <w:r w:rsidR="004C43FD">
        <w:rPr>
          <w:rFonts w:eastAsia="Times New Roman" w:cstheme="minorHAnsi"/>
          <w:i/>
          <w:sz w:val="24"/>
          <w:szCs w:val="24"/>
          <w:lang w:eastAsia="pl-PL"/>
        </w:rPr>
        <w:t>1</w:t>
      </w:r>
      <w:r>
        <w:rPr>
          <w:rFonts w:eastAsia="Times New Roman" w:cstheme="minorHAnsi"/>
          <w:i/>
          <w:sz w:val="24"/>
          <w:szCs w:val="24"/>
          <w:lang w:eastAsia="pl-PL"/>
        </w:rPr>
        <w:t>/2026</w:t>
      </w:r>
      <w:r w:rsidRPr="00680485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Dziekana </w:t>
      </w:r>
      <w:r>
        <w:rPr>
          <w:rFonts w:eastAsia="Times New Roman" w:cstheme="minorHAnsi"/>
          <w:i/>
          <w:sz w:val="24"/>
          <w:szCs w:val="24"/>
          <w:lang w:eastAsia="pl-PL"/>
        </w:rPr>
        <w:br/>
        <w:t xml:space="preserve">Wydziału Biologii i Biotechnologii </w:t>
      </w:r>
      <w:r>
        <w:rPr>
          <w:rFonts w:eastAsia="Times New Roman" w:cstheme="minorHAnsi"/>
          <w:i/>
          <w:sz w:val="24"/>
          <w:szCs w:val="24"/>
          <w:lang w:eastAsia="pl-PL"/>
        </w:rPr>
        <w:br/>
        <w:t xml:space="preserve">Uniwersytetu Warmińsko-Mazurskiego w Olsztynie </w:t>
      </w:r>
      <w:r>
        <w:rPr>
          <w:rFonts w:eastAsia="Times New Roman" w:cstheme="minorHAnsi"/>
          <w:i/>
          <w:sz w:val="24"/>
          <w:szCs w:val="24"/>
          <w:lang w:eastAsia="pl-PL"/>
        </w:rPr>
        <w:br/>
      </w:r>
      <w:r w:rsidRPr="00680485">
        <w:rPr>
          <w:rFonts w:eastAsia="Times New Roman" w:cstheme="minorHAnsi"/>
          <w:i/>
          <w:sz w:val="24"/>
          <w:szCs w:val="24"/>
          <w:lang w:eastAsia="pl-PL"/>
        </w:rPr>
        <w:t xml:space="preserve">z dnia </w:t>
      </w:r>
      <w:r w:rsidR="004C43FD">
        <w:rPr>
          <w:rFonts w:eastAsia="Times New Roman" w:cstheme="minorHAnsi"/>
          <w:i/>
          <w:sz w:val="24"/>
          <w:szCs w:val="24"/>
          <w:lang w:eastAsia="pl-PL"/>
        </w:rPr>
        <w:t>15 stycznia</w:t>
      </w:r>
      <w:r w:rsidRPr="00680485">
        <w:rPr>
          <w:rFonts w:eastAsia="Times New Roman" w:cstheme="minorHAnsi"/>
          <w:i/>
          <w:sz w:val="24"/>
          <w:szCs w:val="24"/>
          <w:lang w:eastAsia="pl-PL"/>
        </w:rPr>
        <w:t xml:space="preserve"> 202</w:t>
      </w:r>
      <w:r>
        <w:rPr>
          <w:rFonts w:eastAsia="Times New Roman" w:cstheme="minorHAnsi"/>
          <w:i/>
          <w:sz w:val="24"/>
          <w:szCs w:val="24"/>
          <w:lang w:eastAsia="pl-PL"/>
        </w:rPr>
        <w:t>6</w:t>
      </w:r>
      <w:r w:rsidRPr="00680485">
        <w:rPr>
          <w:rFonts w:eastAsia="Times New Roman" w:cstheme="minorHAnsi"/>
          <w:i/>
          <w:sz w:val="24"/>
          <w:szCs w:val="24"/>
          <w:lang w:eastAsia="pl-PL"/>
        </w:rPr>
        <w:t xml:space="preserve"> roku</w:t>
      </w:r>
    </w:p>
    <w:p w14:paraId="239B33E9" w14:textId="77777777" w:rsidR="004C43FD" w:rsidRPr="00920C75" w:rsidRDefault="004C43FD" w:rsidP="004C43FD">
      <w:pPr>
        <w:spacing w:after="0" w:line="240" w:lineRule="auto"/>
        <w:ind w:left="3540"/>
        <w:jc w:val="right"/>
        <w:rPr>
          <w:rFonts w:eastAsia="Times New Roman" w:cstheme="minorHAnsi"/>
          <w:i/>
          <w:color w:val="EE0000"/>
          <w:sz w:val="24"/>
          <w:szCs w:val="24"/>
          <w:lang w:eastAsia="pl-PL"/>
        </w:rPr>
      </w:pPr>
      <w:r w:rsidRPr="00920C75">
        <w:rPr>
          <w:rFonts w:eastAsia="Times New Roman" w:cstheme="minorHAnsi"/>
          <w:i/>
          <w:color w:val="EE0000"/>
          <w:sz w:val="24"/>
          <w:szCs w:val="24"/>
          <w:lang w:eastAsia="pl-PL"/>
        </w:rPr>
        <w:t>Wersja ujednolicona</w:t>
      </w:r>
    </w:p>
    <w:p w14:paraId="2858F74A" w14:textId="77E3B960" w:rsidR="004C43FD" w:rsidRPr="00920C75" w:rsidRDefault="004C43FD" w:rsidP="004C43FD">
      <w:pPr>
        <w:spacing w:after="0" w:line="240" w:lineRule="auto"/>
        <w:ind w:left="3540"/>
        <w:jc w:val="right"/>
        <w:rPr>
          <w:rFonts w:eastAsia="Times New Roman" w:cstheme="minorHAnsi"/>
          <w:i/>
          <w:color w:val="EE0000"/>
          <w:sz w:val="24"/>
          <w:szCs w:val="24"/>
          <w:lang w:eastAsia="pl-PL"/>
        </w:rPr>
      </w:pPr>
      <w:r w:rsidRPr="00920C75">
        <w:rPr>
          <w:rFonts w:eastAsia="Times New Roman" w:cstheme="minorHAnsi"/>
          <w:i/>
          <w:color w:val="EE0000"/>
          <w:sz w:val="24"/>
          <w:szCs w:val="24"/>
          <w:lang w:eastAsia="pl-PL"/>
        </w:rPr>
        <w:t xml:space="preserve">z uwzględnieniem zmian wprowadzonych </w:t>
      </w:r>
      <w:r w:rsidR="005431B0">
        <w:rPr>
          <w:rFonts w:eastAsia="Times New Roman" w:cstheme="minorHAnsi"/>
          <w:i/>
          <w:color w:val="EE0000"/>
          <w:sz w:val="24"/>
          <w:szCs w:val="24"/>
          <w:lang w:eastAsia="pl-PL"/>
        </w:rPr>
        <w:br/>
      </w:r>
      <w:r w:rsidR="00920C75" w:rsidRPr="00920C75">
        <w:rPr>
          <w:rFonts w:eastAsia="Times New Roman" w:cstheme="minorHAnsi"/>
          <w:i/>
          <w:color w:val="EE0000"/>
          <w:sz w:val="24"/>
          <w:szCs w:val="24"/>
          <w:lang w:eastAsia="pl-PL"/>
        </w:rPr>
        <w:t>D</w:t>
      </w:r>
      <w:r w:rsidRPr="00920C75">
        <w:rPr>
          <w:rFonts w:eastAsia="Times New Roman" w:cstheme="minorHAnsi"/>
          <w:i/>
          <w:color w:val="EE0000"/>
          <w:sz w:val="24"/>
          <w:szCs w:val="24"/>
          <w:lang w:eastAsia="pl-PL"/>
        </w:rPr>
        <w:t xml:space="preserve">ecyzją </w:t>
      </w:r>
      <w:r w:rsidR="00920C75" w:rsidRPr="00920C75">
        <w:rPr>
          <w:rFonts w:eastAsia="Times New Roman" w:cstheme="minorHAnsi"/>
          <w:i/>
          <w:color w:val="EE0000"/>
          <w:sz w:val="24"/>
          <w:szCs w:val="24"/>
          <w:lang w:eastAsia="pl-PL"/>
        </w:rPr>
        <w:t xml:space="preserve">4/2026 </w:t>
      </w:r>
    </w:p>
    <w:p w14:paraId="71891088" w14:textId="77777777" w:rsidR="00E65A46" w:rsidRDefault="00E65A46" w:rsidP="005858A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BE8ECFE" w14:textId="77777777" w:rsidR="00BC7775" w:rsidRDefault="00BC7775" w:rsidP="005858A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55136C9" w14:textId="27CC83CC" w:rsidR="006476FC" w:rsidRPr="005858A1" w:rsidRDefault="006476FC" w:rsidP="005858A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</w:t>
      </w:r>
    </w:p>
    <w:p w14:paraId="47AFBD5F" w14:textId="77777777" w:rsidR="006476FC" w:rsidRPr="005858A1" w:rsidRDefault="006476FC" w:rsidP="005858A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Dziekańskiej</w:t>
      </w:r>
    </w:p>
    <w:p w14:paraId="0499E749" w14:textId="773AD99C" w:rsidR="006476FC" w:rsidRPr="005858A1" w:rsidRDefault="006476FC" w:rsidP="005858A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Wydziału Biologii i Biotechnologii  Uniwersytetu Warmińsko-Mazurskiego w Olsztynie</w:t>
      </w:r>
    </w:p>
    <w:p w14:paraId="1D809073" w14:textId="692D3D7A" w:rsidR="00854063" w:rsidRPr="00DF2A44" w:rsidRDefault="006476FC" w:rsidP="00585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przyjęty przez Radę Dziekańską Wydziału Biologii i Biotechnologii </w:t>
      </w:r>
      <w:r w:rsidR="00BD3F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Pr="00DF2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dniu 15 stycznia 2026 r</w:t>
      </w:r>
      <w:r w:rsidR="00042E12" w:rsidRPr="00DF2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9973A34" w14:textId="77777777" w:rsidR="006476FC" w:rsidRPr="00DF2A44" w:rsidRDefault="006476FC" w:rsidP="00585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0D992" w14:textId="77777777" w:rsidR="006476FC" w:rsidRPr="00DF2A44" w:rsidRDefault="006476FC" w:rsidP="005858A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F2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</w:t>
      </w:r>
    </w:p>
    <w:p w14:paraId="6AC79977" w14:textId="77777777" w:rsidR="006476FC" w:rsidRPr="00DF2A44" w:rsidRDefault="006476FC" w:rsidP="005858A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F2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ogólne</w:t>
      </w:r>
    </w:p>
    <w:p w14:paraId="50EC427E" w14:textId="77777777" w:rsidR="00BD3F4E" w:rsidRPr="00DF2A44" w:rsidRDefault="00BD3F4E" w:rsidP="005858A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6576BDC" w14:textId="77A41F58" w:rsidR="006476FC" w:rsidRPr="00DF2A44" w:rsidRDefault="006476FC" w:rsidP="009069A4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2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Dziekańska Wydziału Biologii i Biotechnologii Uniwersytetu Warmińsko-Mazurskiego w Olsztynie, zwana dalej „Radą”, jest zespołem opiniodawczo-doradczym Dziekana Wydziału.</w:t>
      </w:r>
    </w:p>
    <w:p w14:paraId="62D193B0" w14:textId="77777777" w:rsidR="006476FC" w:rsidRPr="00DF2A44" w:rsidRDefault="006476FC" w:rsidP="009069A4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2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działa na podstawie:</w:t>
      </w:r>
    </w:p>
    <w:p w14:paraId="779F42E3" w14:textId="77777777" w:rsidR="00E91EE6" w:rsidRPr="00DF2A44" w:rsidRDefault="006476FC" w:rsidP="009069A4">
      <w:pPr>
        <w:pStyle w:val="Akapitzlist"/>
        <w:numPr>
          <w:ilvl w:val="0"/>
          <w:numId w:val="25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2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20 lipca 2018 r. – Prawo o szkolnictwie wyższym i nauce,</w:t>
      </w:r>
    </w:p>
    <w:p w14:paraId="5822B074" w14:textId="77777777" w:rsidR="00E91EE6" w:rsidRPr="00DF2A44" w:rsidRDefault="006476FC" w:rsidP="009069A4">
      <w:pPr>
        <w:pStyle w:val="Akapitzlist"/>
        <w:numPr>
          <w:ilvl w:val="0"/>
          <w:numId w:val="25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2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Statutu Uniwersytetu Warmińsko-Mazurskiego w Olsztynie,</w:t>
      </w:r>
    </w:p>
    <w:p w14:paraId="6B6D78BC" w14:textId="21A52900" w:rsidR="006476FC" w:rsidRPr="00DF2A44" w:rsidRDefault="006476FC" w:rsidP="009069A4">
      <w:pPr>
        <w:pStyle w:val="Akapitzlist"/>
        <w:numPr>
          <w:ilvl w:val="0"/>
          <w:numId w:val="25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2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niniejszego Regulaminu.</w:t>
      </w:r>
    </w:p>
    <w:p w14:paraId="1D96BC60" w14:textId="77777777" w:rsidR="006476FC" w:rsidRPr="00DF2A44" w:rsidRDefault="006476FC" w:rsidP="00BD3F4E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4DE28C" w14:textId="77777777" w:rsidR="006476FC" w:rsidRPr="00DF2A44" w:rsidRDefault="006476FC" w:rsidP="005858A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F2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</w:p>
    <w:p w14:paraId="7CF8D119" w14:textId="77777777" w:rsidR="006476FC" w:rsidRPr="00DF2A44" w:rsidRDefault="006476FC" w:rsidP="005858A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F2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zadań Rady</w:t>
      </w:r>
    </w:p>
    <w:p w14:paraId="53589B97" w14:textId="77777777" w:rsidR="00BD3F4E" w:rsidRPr="00DF2A44" w:rsidRDefault="00BD3F4E" w:rsidP="005858A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CDF75D" w14:textId="77777777" w:rsidR="00BC1A5F" w:rsidRPr="00DF2A44" w:rsidRDefault="006476FC" w:rsidP="00BC1A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2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zadań Rady należy w szczególności:</w:t>
      </w:r>
    </w:p>
    <w:p w14:paraId="31B60DF6" w14:textId="62AB7033" w:rsidR="00BC1A5F" w:rsidRPr="00DF2A44" w:rsidRDefault="00057B8A" w:rsidP="00BD3F4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2A44">
        <w:rPr>
          <w:rFonts w:ascii="Times New Roman" w:hAnsi="Times New Roman" w:cs="Times New Roman"/>
          <w:sz w:val="24"/>
          <w:szCs w:val="24"/>
        </w:rPr>
        <w:t>o</w:t>
      </w:r>
      <w:r w:rsidR="00BC1A5F" w:rsidRPr="00DF2A44">
        <w:rPr>
          <w:rFonts w:ascii="Times New Roman" w:hAnsi="Times New Roman" w:cs="Times New Roman"/>
          <w:sz w:val="24"/>
          <w:szCs w:val="24"/>
        </w:rPr>
        <w:t>piniowanie strategii rozwoju Wydziału oraz kierunków jego działalności dydaktyc</w:t>
      </w:r>
      <w:r w:rsidR="000E09B5" w:rsidRPr="00DF2A44">
        <w:rPr>
          <w:rFonts w:ascii="Times New Roman" w:hAnsi="Times New Roman" w:cs="Times New Roman"/>
          <w:sz w:val="24"/>
          <w:szCs w:val="24"/>
        </w:rPr>
        <w:t>znej, naukowej i organizacyjnej</w:t>
      </w:r>
      <w:r w:rsidR="00564B71" w:rsidRPr="00DF2A44">
        <w:rPr>
          <w:rFonts w:ascii="Times New Roman" w:hAnsi="Times New Roman" w:cs="Times New Roman"/>
          <w:sz w:val="24"/>
          <w:szCs w:val="24"/>
        </w:rPr>
        <w:t>,</w:t>
      </w:r>
    </w:p>
    <w:p w14:paraId="258A9406" w14:textId="0D781C61" w:rsidR="00BC1A5F" w:rsidRPr="00DF2A44" w:rsidRDefault="00564B71" w:rsidP="00BD3F4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2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BC1A5F" w:rsidRPr="00DF2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piniowanie działań związanych z z</w:t>
      </w:r>
      <w:r w:rsidR="000E09B5" w:rsidRPr="00DF2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apewnianiem jakości kształcenia</w:t>
      </w:r>
      <w:r w:rsidRPr="00DF2A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1E5B1B4" w14:textId="76B100CF" w:rsidR="00BC1A5F" w:rsidRPr="00BC1A5F" w:rsidRDefault="00564B71" w:rsidP="00BD3F4E">
      <w:pPr>
        <w:pStyle w:val="NormalnyWeb"/>
        <w:numPr>
          <w:ilvl w:val="0"/>
          <w:numId w:val="11"/>
        </w:numPr>
        <w:jc w:val="both"/>
      </w:pPr>
      <w:r w:rsidRPr="00DF2A44">
        <w:t>o</w:t>
      </w:r>
      <w:r w:rsidR="00BC1A5F" w:rsidRPr="00DF2A44">
        <w:t>piniowanie spraw dotyczących działalności naukowej Wydziału, w szczególności planów badawczych oraz zasad wspierania rozwoju naukowego</w:t>
      </w:r>
      <w:r w:rsidR="00BC1A5F" w:rsidRPr="00BC1A5F">
        <w:t xml:space="preserve"> pracowników</w:t>
      </w:r>
      <w:r>
        <w:t>,</w:t>
      </w:r>
    </w:p>
    <w:p w14:paraId="43DF270C" w14:textId="38768499" w:rsidR="00BC1A5F" w:rsidRPr="00BC1A5F" w:rsidRDefault="00564B71" w:rsidP="00BD3F4E">
      <w:pPr>
        <w:pStyle w:val="NormalnyWeb"/>
        <w:numPr>
          <w:ilvl w:val="0"/>
          <w:numId w:val="11"/>
        </w:numPr>
        <w:jc w:val="both"/>
      </w:pPr>
      <w:r>
        <w:t>w</w:t>
      </w:r>
      <w:r w:rsidR="00BC1A5F" w:rsidRPr="00BC1A5F">
        <w:t xml:space="preserve">yrażanie opinii w sprawach kadrowych, w tym dotyczących polityki kadrowej Wydziału, w zakresie określonym w przepisach wewnętrznych </w:t>
      </w:r>
      <w:r w:rsidR="00D279FC">
        <w:t>U</w:t>
      </w:r>
      <w:r w:rsidR="00BC1A5F" w:rsidRPr="00BC1A5F">
        <w:t>czelni</w:t>
      </w:r>
      <w:r>
        <w:t>,</w:t>
      </w:r>
    </w:p>
    <w:p w14:paraId="40DD0E40" w14:textId="67235FB1" w:rsidR="00BC1A5F" w:rsidRPr="00BC1A5F" w:rsidRDefault="00564B71" w:rsidP="00BD3F4E">
      <w:pPr>
        <w:pStyle w:val="NormalnyWeb"/>
        <w:numPr>
          <w:ilvl w:val="0"/>
          <w:numId w:val="11"/>
        </w:numPr>
        <w:jc w:val="both"/>
      </w:pPr>
      <w:r>
        <w:t>w</w:t>
      </w:r>
      <w:r w:rsidR="00BC1A5F" w:rsidRPr="00BC1A5F">
        <w:t xml:space="preserve">yrażanie opinii w innych sprawach przekazanych Radzie przez </w:t>
      </w:r>
      <w:r w:rsidR="006A5FE0">
        <w:t>d</w:t>
      </w:r>
      <w:r w:rsidR="00BC1A5F" w:rsidRPr="00BC1A5F">
        <w:t xml:space="preserve">ziekana lub wynikających z przepisów </w:t>
      </w:r>
      <w:r w:rsidR="00BC1A5F">
        <w:t>wewnętrznych Uczelni.</w:t>
      </w:r>
    </w:p>
    <w:p w14:paraId="0FD4BEFF" w14:textId="77777777" w:rsidR="006476FC" w:rsidRPr="005858A1" w:rsidRDefault="006476FC" w:rsidP="005858A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</w:p>
    <w:p w14:paraId="6FAFEF6F" w14:textId="77777777" w:rsidR="006476FC" w:rsidRDefault="006476FC" w:rsidP="005858A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 Rady</w:t>
      </w:r>
    </w:p>
    <w:p w14:paraId="39F1114E" w14:textId="77777777" w:rsidR="00BD3F4E" w:rsidRPr="005858A1" w:rsidRDefault="00BD3F4E" w:rsidP="005858A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B817B5F" w14:textId="77777777" w:rsidR="006476FC" w:rsidRPr="005858A1" w:rsidRDefault="006476FC" w:rsidP="00E75545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skład Rady wchodzą:</w:t>
      </w:r>
    </w:p>
    <w:p w14:paraId="4166C3B4" w14:textId="4EE4EF9B" w:rsidR="006476FC" w:rsidRPr="005858A1" w:rsidRDefault="00837018" w:rsidP="00BD3F4E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6476FC"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</w:t>
      </w:r>
      <w:r w:rsidR="000E09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ekan – jako przewodniczący Rady</w:t>
      </w:r>
      <w:r w:rsidR="00BD5B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E6EA237" w14:textId="18A6367F" w:rsidR="006476FC" w:rsidRPr="005858A1" w:rsidRDefault="00837018" w:rsidP="00BD3F4E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6476FC"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rodziekani</w:t>
      </w:r>
      <w:r w:rsidR="00BD5B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551D8F2" w14:textId="098602C6" w:rsidR="006476FC" w:rsidRPr="005858A1" w:rsidRDefault="00837018" w:rsidP="00BD3F4E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6476FC"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rzewodniczący rad naukowych dyscyplin przyp</w:t>
      </w:r>
      <w:r w:rsidR="007A2A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isanych do </w:t>
      </w:r>
      <w:r w:rsidR="006476FC"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Wydział</w:t>
      </w:r>
      <w:r w:rsidR="007A2A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BD5B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FFC81E5" w14:textId="47BDB034" w:rsidR="006476FC" w:rsidRPr="005858A1" w:rsidRDefault="006476FC" w:rsidP="00BD3F4E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zastępcy przewodniczących rad naukowych dyscyplin</w:t>
      </w:r>
      <w:r w:rsidR="00BD5B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510210F" w14:textId="2E3EF9DE" w:rsidR="006476FC" w:rsidRPr="00384466" w:rsidRDefault="006476FC" w:rsidP="00BD3F4E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4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kierownicy </w:t>
      </w:r>
      <w:r w:rsidR="0081777A" w:rsidRPr="00384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384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atedr</w:t>
      </w:r>
      <w:r w:rsidR="00BD5B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3B5E83F" w14:textId="6852EBCE" w:rsidR="006476FC" w:rsidRPr="00384466" w:rsidRDefault="006476FC" w:rsidP="00BD3F4E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4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profesorowie tytularni oraz </w:t>
      </w:r>
      <w:r w:rsidR="00075F89" w:rsidRPr="00384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doktorzy habilitowani </w:t>
      </w:r>
      <w:r w:rsidRPr="00384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zatrudnieni na </w:t>
      </w:r>
      <w:r w:rsidR="00075F89" w:rsidRPr="00384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stanowisku profesora Uczelni</w:t>
      </w:r>
      <w:r w:rsidR="00384466" w:rsidRPr="00384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po złożeniu deklaracji członka Rady</w:t>
      </w:r>
      <w:r w:rsidR="00BD5B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6D10176" w14:textId="5C3C8089" w:rsidR="006476FC" w:rsidRPr="003E524C" w:rsidRDefault="00AB7A76" w:rsidP="00BD3F4E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2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 jednym przedstawicielu z każdej katedry z grupy nauczycieli akademickich ze stopniem doktora i doktora habilitowanego, wyłonionym na zebraniu pracowników tej grupy w danej Katedrze</w:t>
      </w:r>
      <w:r w:rsidR="00BB6626" w:rsidRPr="003E524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B31CA82" w14:textId="006F05D2" w:rsidR="006476FC" w:rsidRPr="00384466" w:rsidRDefault="006476FC" w:rsidP="00BD3F4E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4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dwóch przedstawicieli pracowników niebędących nauczycielami akademickimi, wyłonionych na zebraniu pracowników tej grupy zatrudnionych na Wydziale</w:t>
      </w:r>
      <w:r w:rsidR="00BD5B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5C97FF4A" w14:textId="02274028" w:rsidR="006476FC" w:rsidRPr="00BF62A5" w:rsidRDefault="006476FC" w:rsidP="00BD3F4E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="00612BE6" w:rsidRPr="00BF62A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BF62A5">
        <w:rPr>
          <w:rFonts w:ascii="Times New Roman" w:eastAsia="Times New Roman" w:hAnsi="Times New Roman" w:cs="Times New Roman"/>
          <w:sz w:val="24"/>
          <w:szCs w:val="24"/>
          <w:lang w:eastAsia="pl-PL"/>
        </w:rPr>
        <w:t>ziekanatu</w:t>
      </w:r>
      <w:r w:rsidR="00BD5B10" w:rsidRPr="00BF62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206830" w14:textId="60288237" w:rsidR="00BD3F4E" w:rsidRPr="00BF62A5" w:rsidRDefault="0075467D" w:rsidP="00BD3F4E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2A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Ośrodka Badawczo-Dydaktycznego</w:t>
      </w:r>
      <w:r w:rsidR="00BD5B10" w:rsidRPr="00BF62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95781E8" w14:textId="4A68FF8C" w:rsidR="00FC752C" w:rsidRPr="00BD3F4E" w:rsidRDefault="006476FC" w:rsidP="00BD3F4E">
      <w:pPr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3F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wydziałowego samorządu studenckiego.</w:t>
      </w:r>
    </w:p>
    <w:p w14:paraId="4FBB8634" w14:textId="39E22B5F" w:rsidR="00FC752C" w:rsidRPr="005858A1" w:rsidRDefault="00FC752C" w:rsidP="00384466">
      <w:pPr>
        <w:pStyle w:val="NormalnyWeb"/>
        <w:numPr>
          <w:ilvl w:val="0"/>
          <w:numId w:val="14"/>
        </w:numPr>
        <w:spacing w:after="0" w:afterAutospacing="0"/>
        <w:ind w:left="426"/>
        <w:jc w:val="both"/>
      </w:pPr>
      <w:r w:rsidRPr="005858A1">
        <w:t>W posiedzeniach Rady uczestniczy, z głosem doradczym, przedstawiciel każdego związku zawodowego działającego na Wydziale.</w:t>
      </w:r>
    </w:p>
    <w:p w14:paraId="68184CF5" w14:textId="47C6ABBB" w:rsidR="00FC752C" w:rsidRDefault="00FC752C" w:rsidP="00E91EE6">
      <w:pPr>
        <w:pStyle w:val="NormalnyWeb"/>
        <w:numPr>
          <w:ilvl w:val="0"/>
          <w:numId w:val="14"/>
        </w:numPr>
        <w:spacing w:after="0" w:afterAutospacing="0"/>
        <w:ind w:left="426"/>
        <w:jc w:val="both"/>
      </w:pPr>
      <w:r w:rsidRPr="005858A1">
        <w:t>W posiedzeniach Rady, na zaproszenie Przewodniczącego Rady, mogą uczestniczyć również inne osoby niż wymienione w ust. 1 i 2.</w:t>
      </w:r>
    </w:p>
    <w:p w14:paraId="382B5B02" w14:textId="604019E9" w:rsidR="00EA7E23" w:rsidRPr="005858A1" w:rsidRDefault="00EA7E23" w:rsidP="00E91EE6">
      <w:pPr>
        <w:pStyle w:val="NormalnyWeb"/>
        <w:numPr>
          <w:ilvl w:val="0"/>
          <w:numId w:val="14"/>
        </w:numPr>
        <w:spacing w:after="0" w:afterAutospacing="0"/>
        <w:ind w:left="426"/>
        <w:jc w:val="both"/>
      </w:pPr>
      <w:r w:rsidRPr="005858A1">
        <w:t xml:space="preserve">Obecność członków na posiedzeniach </w:t>
      </w:r>
      <w:r w:rsidR="005858A1" w:rsidRPr="005858A1">
        <w:t>R</w:t>
      </w:r>
      <w:r w:rsidR="00075F89">
        <w:t xml:space="preserve">ady jest obowiązkowa. </w:t>
      </w:r>
    </w:p>
    <w:p w14:paraId="19DC60BA" w14:textId="77777777" w:rsidR="006476FC" w:rsidRPr="005858A1" w:rsidRDefault="006476FC" w:rsidP="005858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E745B7" w14:textId="77777777" w:rsidR="00FC752C" w:rsidRPr="005858A1" w:rsidRDefault="00FC752C" w:rsidP="005858A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14:paraId="303BBBEA" w14:textId="75D527CD" w:rsidR="00842394" w:rsidRDefault="00FC752C" w:rsidP="00A96CE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Tryb wyboru przedstawicieli</w:t>
      </w:r>
      <w:r w:rsidR="006A0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Rady</w:t>
      </w:r>
    </w:p>
    <w:p w14:paraId="3BF1662E" w14:textId="77777777" w:rsidR="00BD3F4E" w:rsidRPr="00A96CE7" w:rsidRDefault="00BD3F4E" w:rsidP="00A96CE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A22AA49" w14:textId="6D52CBED" w:rsidR="009266CF" w:rsidRPr="006F4652" w:rsidRDefault="00842394" w:rsidP="009266CF">
      <w:pPr>
        <w:pStyle w:val="Akapitzlist"/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2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Wyboru dwóch przedstawicieli pracowników niebędących nauczycielami akademickimi, o których mowa w § 24 ust. 5 pkt 7 Statutu Uniwersytetu Warmińsko-Mazurskiego </w:t>
      </w:r>
      <w:r w:rsidR="00E91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842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Olsztynie</w:t>
      </w:r>
      <w:r w:rsidRPr="006F46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842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266CF" w:rsidRPr="00842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dokonuje się </w:t>
      </w:r>
      <w:r w:rsidR="009266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zebraniu ogólnym pracowników tej</w:t>
      </w:r>
      <w:r w:rsidR="009266CF" w:rsidRPr="00842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</w:t>
      </w:r>
      <w:r w:rsidR="009266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y.</w:t>
      </w:r>
    </w:p>
    <w:p w14:paraId="28983251" w14:textId="2D75B6FB" w:rsidR="009266CF" w:rsidRPr="006F4652" w:rsidRDefault="006F4652" w:rsidP="009266CF">
      <w:pPr>
        <w:pStyle w:val="Akapitzlist"/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Wyboru dodatkowych przedstawicieli</w:t>
      </w:r>
      <w:r w:rsidR="009266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9266CF" w:rsidRPr="00842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których mowa w </w:t>
      </w:r>
      <w:r w:rsidR="009266CF" w:rsidRPr="00E55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</w:t>
      </w:r>
      <w:r w:rsidR="009266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</w:t>
      </w:r>
      <w:r w:rsidR="00C42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9266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 pkt </w:t>
      </w:r>
      <w:r w:rsidR="009266CF" w:rsidRPr="007116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097DD7" w:rsidRPr="007116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 Rady Dziekańskiej</w:t>
      </w:r>
      <w:r w:rsidR="009266CF" w:rsidRPr="007116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dokonują nauczyciele akademiccy tej grupy zatrudnieni w </w:t>
      </w:r>
      <w:r w:rsidR="009266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Katedrze oddzielnie dla każdej z Katedr</w:t>
      </w:r>
      <w:r w:rsidR="009266CF" w:rsidRPr="00842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C62FEC" w14:textId="7E674A47" w:rsidR="00FC752C" w:rsidRPr="00842394" w:rsidRDefault="00FC752C" w:rsidP="00E91EE6">
      <w:pPr>
        <w:pStyle w:val="Akapitzlist"/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2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przeprowadzenia wyborów przedstawicieli</w:t>
      </w:r>
      <w:r w:rsidR="006A08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Rady</w:t>
      </w:r>
      <w:r w:rsidRPr="00842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266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powołuje</w:t>
      </w:r>
      <w:r w:rsidRPr="00842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266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</w:t>
      </w:r>
      <w:r w:rsidRPr="00842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Komisję </w:t>
      </w:r>
      <w:r w:rsidR="00E91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42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ds. wyborów przedstawicieli do Rady Dziekańskiej Wydziału </w:t>
      </w:r>
      <w:r w:rsidR="00EA7E23" w:rsidRPr="00842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Biologii i Biotechnologii</w:t>
      </w:r>
      <w:r w:rsidRPr="00842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zwaną dalej „Komisją”.</w:t>
      </w:r>
    </w:p>
    <w:p w14:paraId="00FE7C37" w14:textId="66641ABD" w:rsidR="002F3C28" w:rsidRPr="002F3C28" w:rsidRDefault="00FC752C" w:rsidP="002F3C28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jest organem trzyosobowym i składa się z przewodniczącego, członka oraz sekretarza.</w:t>
      </w:r>
      <w:r w:rsidR="002F3C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Komisja ta pełni również funkcję komisji skrutacyjnej.</w:t>
      </w:r>
    </w:p>
    <w:p w14:paraId="151878CE" w14:textId="24E74AC9" w:rsidR="00FC752C" w:rsidRDefault="00FC752C" w:rsidP="00E91EE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Komisję powołuje </w:t>
      </w:r>
      <w:r w:rsidR="00612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ziekan w drodze decyzji na całą kadencję Rady.</w:t>
      </w:r>
    </w:p>
    <w:p w14:paraId="7D366D84" w14:textId="77777777" w:rsidR="002F3C28" w:rsidRDefault="002F3C28" w:rsidP="002F3C28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Członkiem komisji nie może być kandydat na członka Rady.</w:t>
      </w:r>
    </w:p>
    <w:p w14:paraId="66DF3E64" w14:textId="401EB9FD" w:rsidR="00FC752C" w:rsidRPr="005858A1" w:rsidRDefault="00FC752C" w:rsidP="00E91EE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Przewodniczący Komisji zwołuje zebranie wyborcze, określając termin, miejsce oraz porządek obrad, i zawiadamia uprawnionych pracowników drogą elektroniczną </w:t>
      </w:r>
      <w:r w:rsidR="00E91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najmniej 5 dni przed terminem zebrania.</w:t>
      </w:r>
    </w:p>
    <w:p w14:paraId="3915C36E" w14:textId="77777777" w:rsidR="00C20C4A" w:rsidRDefault="00FC752C" w:rsidP="00E91EE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Wybory przeprowadza się w trybie bezpośrednim, w głosowaniu tajnym.</w:t>
      </w:r>
    </w:p>
    <w:p w14:paraId="47493CBF" w14:textId="289AD066" w:rsidR="00C20C4A" w:rsidRDefault="005858A1" w:rsidP="00E91EE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Każdy z uprawnionych do udziału w zebraniu i obecnych na nim pracowników</w:t>
      </w:r>
      <w:r w:rsidR="00842394"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prawo do zgłoszenia ustnie jednej kandydatury na członka Rady. Aby</w:t>
      </w:r>
      <w:r w:rsidR="00842394"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kandydatura mogła być dalej procedowana wymagana jest zgoda kandydata</w:t>
      </w:r>
      <w:r w:rsidR="00842394"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wyrażona ustnie na zebraniu lub przedłożona</w:t>
      </w:r>
      <w:r w:rsidR="00842394"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przewodniczącemu w formie pisemnej przed zamknięciem listy kandydatów.</w:t>
      </w:r>
    </w:p>
    <w:p w14:paraId="50695748" w14:textId="15AF261E" w:rsidR="00C20C4A" w:rsidRDefault="005858A1" w:rsidP="00E91EE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zamknięciu listy kandydatów uprawnieni do głosowania pracownicy </w:t>
      </w:r>
      <w:r w:rsidR="00842394"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głosowaniu tajnym dokonują wyboru swoich przedstawicieli poprzez</w:t>
      </w:r>
      <w:r w:rsidR="00842394"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postawienie znaku „X” przy właściwym kandydacie na przygotowanej karcie</w:t>
      </w:r>
      <w:r w:rsidR="00842394"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głosowania. Postawienie większej </w:t>
      </w:r>
      <w:r w:rsidR="009266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liczby</w:t>
      </w:r>
      <w:r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znaków „X” niż liczba mandatów</w:t>
      </w:r>
      <w:r w:rsidR="00842394"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20C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oznacza głos nieważny.</w:t>
      </w:r>
    </w:p>
    <w:p w14:paraId="47B2CADA" w14:textId="2E59F0CF" w:rsidR="00C20C4A" w:rsidRPr="003E524C" w:rsidRDefault="00C20C4A" w:rsidP="00E91EE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C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wybranych uznaje się kandydatów, którzy uzyskali najw</w:t>
      </w:r>
      <w:r w:rsidR="003B3D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yższą</w:t>
      </w:r>
      <w:r w:rsidRPr="003E5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liczbę głosów.</w:t>
      </w:r>
      <w:r w:rsidR="00C54A01" w:rsidRPr="003E5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rozstrzygnięcie wyborów w tym trybie nie jest możliwe, ostateczną decyzję podejmuje Przewodniczący Rady</w:t>
      </w:r>
      <w:r w:rsidR="00C92F66" w:rsidRPr="003E524C">
        <w:rPr>
          <w:rFonts w:ascii="Times New Roman" w:eastAsia="Times New Roman" w:hAnsi="Times New Roman" w:cs="Times New Roman"/>
          <w:sz w:val="24"/>
          <w:szCs w:val="24"/>
          <w:lang w:eastAsia="pl-PL"/>
        </w:rPr>
        <w:t>, po zasięgnięciu opinii kierownika katedry.</w:t>
      </w:r>
    </w:p>
    <w:p w14:paraId="00DFC183" w14:textId="0404EDC3" w:rsidR="00C20C4A" w:rsidRPr="00C20C4A" w:rsidRDefault="00C20C4A" w:rsidP="00E91EE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5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przebiegu zebrania wyborczego sporządza się protokół, który podpisują </w:t>
      </w:r>
      <w:r w:rsidRPr="00C20C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Komisji</w:t>
      </w:r>
      <w:r w:rsidR="002F3C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Członek</w:t>
      </w:r>
      <w:r w:rsidRPr="00C20C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Sekretarz Komisji.</w:t>
      </w:r>
    </w:p>
    <w:p w14:paraId="02710E10" w14:textId="77777777" w:rsidR="00C20C4A" w:rsidRPr="00D715C5" w:rsidRDefault="00C20C4A" w:rsidP="00D715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1D3C0ED" w14:textId="77777777" w:rsidR="00EA7E23" w:rsidRPr="00DA1409" w:rsidRDefault="00EA7E23" w:rsidP="005858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4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0B5910D4" w14:textId="56A6EB4B" w:rsidR="00FC752C" w:rsidRDefault="00EA7E23" w:rsidP="005858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Zwoływanie</w:t>
      </w:r>
      <w:r w:rsidR="006A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tryb odbywania</w:t>
      </w:r>
      <w:r w:rsidRPr="00585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posiedzeń Rady</w:t>
      </w:r>
    </w:p>
    <w:p w14:paraId="3FBE2CE6" w14:textId="77777777" w:rsidR="00BD3F4E" w:rsidRPr="005858A1" w:rsidRDefault="00BD3F4E" w:rsidP="005858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F5DB8E" w14:textId="4BC3BC5F" w:rsidR="00DC1BAC" w:rsidRPr="00DC1BAC" w:rsidRDefault="00DC1BAC" w:rsidP="00E91EE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Posiedzenia Rady zwołuje oraz przewodniczy im </w:t>
      </w:r>
      <w:r w:rsidR="00612BE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>ziekan.</w:t>
      </w:r>
    </w:p>
    <w:p w14:paraId="7DF48F3A" w14:textId="5ABE913D" w:rsidR="00DC1BAC" w:rsidRPr="00DC1BAC" w:rsidRDefault="00DC1BAC" w:rsidP="00E91EE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uzasadnionej nieobecności </w:t>
      </w:r>
      <w:r w:rsidR="00612BE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ziekana obradom Rady przewodniczy wyznaczony przez niego </w:t>
      </w:r>
      <w:r w:rsidR="00612BE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>rodziekan.</w:t>
      </w:r>
    </w:p>
    <w:p w14:paraId="3805357A" w14:textId="77777777" w:rsidR="0081777A" w:rsidRPr="00DC1BAC" w:rsidRDefault="0081777A" w:rsidP="00E91EE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Posiedzenia Rady mogą odbywać się w trybie stacjonarnym lub zdalnym.</w:t>
      </w:r>
    </w:p>
    <w:p w14:paraId="3AE151A0" w14:textId="2B1B17F5" w:rsidR="0081777A" w:rsidRPr="00DC1BAC" w:rsidRDefault="0081777A" w:rsidP="00E91EE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Posiedzenia odbywające się w trybie zdalnym przeprowadzane są z wykorzystaniem narzędzi komunikacji elektronicznej, w szczególności platformy Microsoft </w:t>
      </w:r>
      <w:proofErr w:type="spellStart"/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27B090" w14:textId="6462E65A" w:rsidR="00DC1BAC" w:rsidRPr="00DC1BAC" w:rsidRDefault="00DC1BAC" w:rsidP="00E91EE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 o posiedzeni</w:t>
      </w:r>
      <w:r w:rsidR="002F3C28">
        <w:rPr>
          <w:rFonts w:ascii="Times New Roman" w:eastAsia="Times New Roman" w:hAnsi="Times New Roman" w:cs="Times New Roman"/>
          <w:sz w:val="24"/>
          <w:szCs w:val="24"/>
          <w:lang w:eastAsia="pl-PL"/>
        </w:rPr>
        <w:t>u Rady, wraz z porządkiem obrad,</w:t>
      </w: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jest członkom Rady drogą elektroniczną z co najmniej pięciodniowym wyprzedzeniem</w:t>
      </w:r>
      <w:r w:rsidR="006A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terminem posiedzenia</w:t>
      </w: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 że charakter sprawy uzasadnia zastosowanie krótszego terminu. </w:t>
      </w:r>
    </w:p>
    <w:p w14:paraId="4FAD4DF7" w14:textId="60C11309" w:rsidR="00DC1BAC" w:rsidRPr="00DC1BAC" w:rsidRDefault="00DC1BAC" w:rsidP="00E91EE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Posiedzenia Rady odbywają się w miarę potrzeb, nie rzadziej jednak niż raz w semestrze.</w:t>
      </w:r>
    </w:p>
    <w:p w14:paraId="5A25EC1C" w14:textId="6A04239F" w:rsidR="00DC1BAC" w:rsidRPr="005858A1" w:rsidRDefault="00DC1BAC" w:rsidP="00E91EE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 zwołuje posiedzenie Rady z udziałem wszystkich pracowników Wydziału nie rzadziej niż raz w semestrze.</w:t>
      </w:r>
    </w:p>
    <w:p w14:paraId="413A4F65" w14:textId="333FF227" w:rsidR="00DC1BAC" w:rsidRPr="00DC1BAC" w:rsidRDefault="00DC1BAC" w:rsidP="00E91EE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Terminy posiedzeń </w:t>
      </w:r>
      <w:r w:rsidR="003B3D32">
        <w:rPr>
          <w:rFonts w:ascii="Times New Roman" w:eastAsia="Times New Roman" w:hAnsi="Times New Roman" w:cs="Times New Roman"/>
          <w:sz w:val="24"/>
          <w:szCs w:val="24"/>
          <w:lang w:eastAsia="pl-PL"/>
        </w:rPr>
        <w:t>Rady</w:t>
      </w: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uzależnione są od liczby lub wagi spraw wymagających rozpatrzenia. W sytuacjach szczególnych mogą być zwoływane posiedzenia nadzwyczajne, z zastrzeżeniem że zawiadomienie o takim posiedzeniu przekazywane jest nie później niż na dwa dni przed jego terminem.</w:t>
      </w:r>
    </w:p>
    <w:p w14:paraId="7504A88F" w14:textId="5B72124C" w:rsidR="00DC1BAC" w:rsidRPr="00DC1BAC" w:rsidRDefault="00DC1BAC" w:rsidP="00E91EE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Obrady Rady odbywają się zgodnie z ustalonym porządkiem obrad, z możliwością wprowadzenia dodatkowych punktów </w:t>
      </w:r>
      <w:r w:rsidR="003B3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harmonogramu </w:t>
      </w: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zmiany ich kolejności </w:t>
      </w:r>
      <w:r w:rsidR="003B3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1BA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uzasadnionej potrzeby.</w:t>
      </w:r>
    </w:p>
    <w:p w14:paraId="5284C6F6" w14:textId="77777777" w:rsidR="00A96CE7" w:rsidRPr="005858A1" w:rsidRDefault="00A96CE7" w:rsidP="00BD3F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1B4CBF" w14:textId="77777777" w:rsidR="00042E12" w:rsidRPr="005858A1" w:rsidRDefault="00042E12" w:rsidP="005858A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14:paraId="63F14331" w14:textId="029E9CC0" w:rsidR="00BD3F4E" w:rsidRPr="005858A1" w:rsidRDefault="00A96CE7" w:rsidP="00BD3F4E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Zasady formułowania </w:t>
      </w:r>
      <w:r w:rsidR="00042E12" w:rsidRPr="00585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opinii i stanowisk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Rad</w:t>
      </w:r>
      <w:r w:rsidR="00BD3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y</w:t>
      </w:r>
    </w:p>
    <w:p w14:paraId="6D78E45D" w14:textId="7B877627" w:rsidR="00042E12" w:rsidRPr="005858A1" w:rsidRDefault="00042E12" w:rsidP="00E91EE6">
      <w:pPr>
        <w:pStyle w:val="NormalnyWeb"/>
        <w:numPr>
          <w:ilvl w:val="0"/>
          <w:numId w:val="19"/>
        </w:numPr>
        <w:tabs>
          <w:tab w:val="clear" w:pos="720"/>
          <w:tab w:val="num" w:pos="426"/>
        </w:tabs>
        <w:spacing w:after="0" w:afterAutospacing="0"/>
        <w:ind w:left="426"/>
        <w:jc w:val="both"/>
      </w:pPr>
      <w:r w:rsidRPr="005858A1">
        <w:t xml:space="preserve">Rada wyraża opinie i stanowiska w sprawach objętych porządkiem obrad, formułując je </w:t>
      </w:r>
      <w:r w:rsidR="000B3F81">
        <w:br/>
      </w:r>
      <w:r w:rsidRPr="005858A1">
        <w:t>w drodze dyskusji, a w razie potrzeby – w drodze głosowania.</w:t>
      </w:r>
    </w:p>
    <w:p w14:paraId="51DDBA6F" w14:textId="69CE7F76" w:rsidR="00042E12" w:rsidRPr="005858A1" w:rsidRDefault="00042E12" w:rsidP="00E91EE6">
      <w:pPr>
        <w:pStyle w:val="NormalnyWeb"/>
        <w:numPr>
          <w:ilvl w:val="0"/>
          <w:numId w:val="19"/>
        </w:numPr>
        <w:tabs>
          <w:tab w:val="clear" w:pos="720"/>
          <w:tab w:val="num" w:pos="426"/>
        </w:tabs>
        <w:spacing w:after="0" w:afterAutospacing="0"/>
        <w:ind w:left="426"/>
        <w:jc w:val="both"/>
      </w:pPr>
      <w:r w:rsidRPr="005858A1">
        <w:t>Głosowanie ma na celu ustalenie stanowiska większości członków Rady i nie ma charakteru uchwałodawczego ani decyzyjnego.</w:t>
      </w:r>
    </w:p>
    <w:p w14:paraId="4246131C" w14:textId="6E5E81CC" w:rsidR="00042E12" w:rsidRPr="005858A1" w:rsidRDefault="00042E12" w:rsidP="00E91EE6">
      <w:pPr>
        <w:pStyle w:val="NormalnyWeb"/>
        <w:numPr>
          <w:ilvl w:val="0"/>
          <w:numId w:val="19"/>
        </w:numPr>
        <w:tabs>
          <w:tab w:val="clear" w:pos="720"/>
          <w:tab w:val="num" w:pos="426"/>
        </w:tabs>
        <w:spacing w:after="0" w:afterAutospacing="0"/>
        <w:ind w:left="426"/>
        <w:jc w:val="both"/>
      </w:pPr>
      <w:r w:rsidRPr="005858A1">
        <w:t xml:space="preserve">Głosowanie jest ważne, jeżeli w posiedzeniu uczestniczy </w:t>
      </w:r>
      <w:r w:rsidR="004754F1" w:rsidRPr="005858A1">
        <w:t>co najmniej połowa</w:t>
      </w:r>
      <w:r w:rsidRPr="005858A1">
        <w:t xml:space="preserve"> składu Rady, </w:t>
      </w:r>
      <w:r w:rsidR="000E09B5">
        <w:br/>
      </w:r>
      <w:r w:rsidRPr="005858A1">
        <w:t>z</w:t>
      </w:r>
      <w:r w:rsidR="003B3D32">
        <w:t xml:space="preserve"> wyłączeniem zaproszonych gości</w:t>
      </w:r>
      <w:r w:rsidRPr="005858A1">
        <w:t>.</w:t>
      </w:r>
    </w:p>
    <w:p w14:paraId="68C7FAA2" w14:textId="28AC0D3F" w:rsidR="00042E12" w:rsidRPr="005858A1" w:rsidRDefault="00042E12" w:rsidP="003B3D32">
      <w:pPr>
        <w:pStyle w:val="NormalnyWeb"/>
        <w:numPr>
          <w:ilvl w:val="0"/>
          <w:numId w:val="19"/>
        </w:numPr>
        <w:tabs>
          <w:tab w:val="clear" w:pos="720"/>
          <w:tab w:val="num" w:pos="426"/>
        </w:tabs>
        <w:spacing w:after="0" w:afterAutospacing="0"/>
        <w:ind w:left="426"/>
        <w:jc w:val="both"/>
      </w:pPr>
      <w:r w:rsidRPr="005858A1">
        <w:t xml:space="preserve">Stanowisko Rady </w:t>
      </w:r>
      <w:r w:rsidR="003B3D32">
        <w:t xml:space="preserve">jest przyjmowane zwykłą większością głosów w głosowaniu jawnym, </w:t>
      </w:r>
      <w:r w:rsidR="003B3D32">
        <w:br/>
        <w:t>z</w:t>
      </w:r>
      <w:r w:rsidRPr="005858A1">
        <w:t xml:space="preserve"> wyjątkiem spraw osobowych, które rozstrzygane są w głosowaniu tajnym.</w:t>
      </w:r>
    </w:p>
    <w:p w14:paraId="5AE6FFCD" w14:textId="33EA981E" w:rsidR="00042E12" w:rsidRDefault="00042E12" w:rsidP="00E91EE6">
      <w:pPr>
        <w:pStyle w:val="NormalnyWeb"/>
        <w:numPr>
          <w:ilvl w:val="0"/>
          <w:numId w:val="19"/>
        </w:numPr>
        <w:tabs>
          <w:tab w:val="clear" w:pos="720"/>
          <w:tab w:val="num" w:pos="426"/>
        </w:tabs>
        <w:spacing w:after="0" w:afterAutospacing="0"/>
        <w:ind w:left="426"/>
        <w:jc w:val="both"/>
      </w:pPr>
      <w:r w:rsidRPr="005858A1">
        <w:t xml:space="preserve">W szczególnie uzasadnionych przypadkach, w tym gdy zwołanie posiedzenia Rady nie jest możliwe, opinie i stanowiska Rady mogą być wyrażane w trybie obiegowym, </w:t>
      </w:r>
      <w:r w:rsidR="000B3F81">
        <w:br/>
      </w:r>
      <w:r w:rsidRPr="005858A1">
        <w:t>z wykorzystaniem środków komunikacji elektronicznej, w terminie wyznaczonym przez Przewodniczącego Rady.</w:t>
      </w:r>
    </w:p>
    <w:p w14:paraId="57231749" w14:textId="77777777" w:rsidR="00ED6199" w:rsidRDefault="00ED6199" w:rsidP="005858A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FA2DCFC" w14:textId="63628F5F" w:rsidR="00042E12" w:rsidRPr="005858A1" w:rsidRDefault="00042E12" w:rsidP="005858A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</w:p>
    <w:p w14:paraId="46047682" w14:textId="77777777" w:rsidR="00042E12" w:rsidRDefault="00042E12" w:rsidP="005858A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Dokumentacja prac Rady</w:t>
      </w:r>
    </w:p>
    <w:p w14:paraId="479AB350" w14:textId="77777777" w:rsidR="00BD3F4E" w:rsidRPr="005858A1" w:rsidRDefault="00BD3F4E" w:rsidP="005858A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43243B" w14:textId="77777777" w:rsidR="00042E12" w:rsidRPr="005858A1" w:rsidRDefault="00042E12" w:rsidP="00E91EE6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posiedzeń Rady sporządza się protokół.</w:t>
      </w:r>
    </w:p>
    <w:p w14:paraId="0ED1BE75" w14:textId="77777777" w:rsidR="00042E12" w:rsidRPr="005858A1" w:rsidRDefault="00042E12" w:rsidP="00E91EE6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zawiera w szczególności:</w:t>
      </w:r>
    </w:p>
    <w:p w14:paraId="1F844BDF" w14:textId="77777777" w:rsidR="00042E12" w:rsidRPr="005858A1" w:rsidRDefault="00042E12" w:rsidP="00E91EE6">
      <w:pPr>
        <w:numPr>
          <w:ilvl w:val="1"/>
          <w:numId w:val="2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posiedzenia,</w:t>
      </w:r>
    </w:p>
    <w:p w14:paraId="315F7AC9" w14:textId="77777777" w:rsidR="00042E12" w:rsidRPr="005858A1" w:rsidRDefault="00042E12" w:rsidP="00E91EE6">
      <w:pPr>
        <w:numPr>
          <w:ilvl w:val="1"/>
          <w:numId w:val="2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listę obecności,</w:t>
      </w:r>
    </w:p>
    <w:p w14:paraId="36F64384" w14:textId="77777777" w:rsidR="00042E12" w:rsidRPr="005858A1" w:rsidRDefault="00042E12" w:rsidP="00E91EE6">
      <w:pPr>
        <w:numPr>
          <w:ilvl w:val="1"/>
          <w:numId w:val="2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porządek obrad,</w:t>
      </w:r>
    </w:p>
    <w:p w14:paraId="2088F845" w14:textId="77777777" w:rsidR="00042E12" w:rsidRPr="005858A1" w:rsidRDefault="00042E12" w:rsidP="00E91EE6">
      <w:pPr>
        <w:numPr>
          <w:ilvl w:val="1"/>
          <w:numId w:val="2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spraw poddanych pod głosowanie oraz wynik głosowania.</w:t>
      </w:r>
    </w:p>
    <w:p w14:paraId="41A93653" w14:textId="4EF64CD4" w:rsidR="00042E12" w:rsidRPr="00207D2F" w:rsidRDefault="00042E12" w:rsidP="007E2446">
      <w:pPr>
        <w:pStyle w:val="Akapitzlist"/>
        <w:numPr>
          <w:ilvl w:val="0"/>
          <w:numId w:val="28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7D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Protokoły przechowywane są w dokumentacji Wydziału zgodnie z obowiązującymi przepisami.</w:t>
      </w:r>
    </w:p>
    <w:p w14:paraId="1395DE07" w14:textId="77777777" w:rsidR="00042E12" w:rsidRPr="005858A1" w:rsidRDefault="00042E12" w:rsidP="005858A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7737E24" w14:textId="77777777" w:rsidR="00042E12" w:rsidRPr="005858A1" w:rsidRDefault="00042E12" w:rsidP="005858A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</w:t>
      </w:r>
    </w:p>
    <w:p w14:paraId="24BB35D9" w14:textId="77777777" w:rsidR="00042E12" w:rsidRDefault="00042E12" w:rsidP="005858A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końcowe</w:t>
      </w:r>
    </w:p>
    <w:p w14:paraId="1E2F3D3F" w14:textId="77777777" w:rsidR="00BD3F4E" w:rsidRPr="005858A1" w:rsidRDefault="00BD3F4E" w:rsidP="005858A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0D8898" w14:textId="77777777" w:rsidR="00042E12" w:rsidRPr="005858A1" w:rsidRDefault="00042E12" w:rsidP="00E91EE6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 wchodzi w życie z dniem jego przyjęcia przez Radę Dziekańską.</w:t>
      </w:r>
    </w:p>
    <w:p w14:paraId="49DD0816" w14:textId="09DBB2A5" w:rsidR="005B5959" w:rsidRPr="0081777A" w:rsidRDefault="00042E12" w:rsidP="00E91EE6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5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sprawach nieuregulowanych niniejszym Regulaminem stosuje się przepisy Statutu Uniwersytetu Warmińsko-Mazurskiego w Olsztynie oraz powszechnie obowiązujące przepisy prawa.</w:t>
      </w:r>
    </w:p>
    <w:sectPr w:rsidR="005B5959" w:rsidRPr="0081777A" w:rsidSect="003B548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6238" w14:textId="77777777" w:rsidR="001B747C" w:rsidRDefault="001B747C" w:rsidP="00DC1BAC">
      <w:pPr>
        <w:spacing w:after="0" w:line="240" w:lineRule="auto"/>
      </w:pPr>
      <w:r>
        <w:separator/>
      </w:r>
    </w:p>
  </w:endnote>
  <w:endnote w:type="continuationSeparator" w:id="0">
    <w:p w14:paraId="1289E7D5" w14:textId="77777777" w:rsidR="001B747C" w:rsidRDefault="001B747C" w:rsidP="00DC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8438" w14:textId="77777777" w:rsidR="001B747C" w:rsidRDefault="001B747C" w:rsidP="00DC1BAC">
      <w:pPr>
        <w:spacing w:after="0" w:line="240" w:lineRule="auto"/>
      </w:pPr>
      <w:r>
        <w:separator/>
      </w:r>
    </w:p>
  </w:footnote>
  <w:footnote w:type="continuationSeparator" w:id="0">
    <w:p w14:paraId="46E357BF" w14:textId="77777777" w:rsidR="001B747C" w:rsidRDefault="001B747C" w:rsidP="00DC1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2E5"/>
    <w:multiLevelType w:val="multilevel"/>
    <w:tmpl w:val="2DF0D190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45586"/>
    <w:multiLevelType w:val="hybridMultilevel"/>
    <w:tmpl w:val="E6ACDA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C4C"/>
    <w:multiLevelType w:val="hybridMultilevel"/>
    <w:tmpl w:val="7388B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6DC8"/>
    <w:multiLevelType w:val="hybridMultilevel"/>
    <w:tmpl w:val="E7DA1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A1F"/>
    <w:multiLevelType w:val="hybridMultilevel"/>
    <w:tmpl w:val="5BEAB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799C"/>
    <w:multiLevelType w:val="multilevel"/>
    <w:tmpl w:val="EFB8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723F6"/>
    <w:multiLevelType w:val="hybridMultilevel"/>
    <w:tmpl w:val="29749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1F69"/>
    <w:multiLevelType w:val="multilevel"/>
    <w:tmpl w:val="7D48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D2309"/>
    <w:multiLevelType w:val="hybridMultilevel"/>
    <w:tmpl w:val="E3AA982E"/>
    <w:lvl w:ilvl="0" w:tplc="CC80D6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A3AE3"/>
    <w:multiLevelType w:val="hybridMultilevel"/>
    <w:tmpl w:val="9DC8A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74C27"/>
    <w:multiLevelType w:val="hybridMultilevel"/>
    <w:tmpl w:val="6DD61B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0119AE"/>
    <w:multiLevelType w:val="hybridMultilevel"/>
    <w:tmpl w:val="84949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7"/>
    <w:multiLevelType w:val="hybridMultilevel"/>
    <w:tmpl w:val="B8D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1622E"/>
    <w:multiLevelType w:val="multilevel"/>
    <w:tmpl w:val="A32C5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056541"/>
    <w:multiLevelType w:val="hybridMultilevel"/>
    <w:tmpl w:val="AB7EA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11646"/>
    <w:multiLevelType w:val="multilevel"/>
    <w:tmpl w:val="A7561D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120FD4"/>
    <w:multiLevelType w:val="multilevel"/>
    <w:tmpl w:val="F6C0B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318B7"/>
    <w:multiLevelType w:val="hybridMultilevel"/>
    <w:tmpl w:val="D52E07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F371E"/>
    <w:multiLevelType w:val="multilevel"/>
    <w:tmpl w:val="700A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E41427"/>
    <w:multiLevelType w:val="multilevel"/>
    <w:tmpl w:val="48F09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9DF32FC"/>
    <w:multiLevelType w:val="multilevel"/>
    <w:tmpl w:val="32BE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11AFF"/>
    <w:multiLevelType w:val="multilevel"/>
    <w:tmpl w:val="A3C4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E094E"/>
    <w:multiLevelType w:val="multilevel"/>
    <w:tmpl w:val="21AAC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C92ED3"/>
    <w:multiLevelType w:val="hybridMultilevel"/>
    <w:tmpl w:val="312A6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87C00"/>
    <w:multiLevelType w:val="hybridMultilevel"/>
    <w:tmpl w:val="CD361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34D10"/>
    <w:multiLevelType w:val="hybridMultilevel"/>
    <w:tmpl w:val="3A9A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544B8"/>
    <w:multiLevelType w:val="multilevel"/>
    <w:tmpl w:val="32BE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E13E2D"/>
    <w:multiLevelType w:val="hybridMultilevel"/>
    <w:tmpl w:val="23AAA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674339">
    <w:abstractNumId w:val="1"/>
  </w:num>
  <w:num w:numId="2" w16cid:durableId="978614013">
    <w:abstractNumId w:val="17"/>
  </w:num>
  <w:num w:numId="3" w16cid:durableId="982855664">
    <w:abstractNumId w:val="11"/>
  </w:num>
  <w:num w:numId="4" w16cid:durableId="1265722712">
    <w:abstractNumId w:val="4"/>
  </w:num>
  <w:num w:numId="5" w16cid:durableId="1578513524">
    <w:abstractNumId w:val="23"/>
  </w:num>
  <w:num w:numId="6" w16cid:durableId="552010136">
    <w:abstractNumId w:val="12"/>
  </w:num>
  <w:num w:numId="7" w16cid:durableId="1203439674">
    <w:abstractNumId w:val="27"/>
  </w:num>
  <w:num w:numId="8" w16cid:durableId="1559440363">
    <w:abstractNumId w:val="24"/>
  </w:num>
  <w:num w:numId="9" w16cid:durableId="218247458">
    <w:abstractNumId w:val="3"/>
  </w:num>
  <w:num w:numId="10" w16cid:durableId="1447967507">
    <w:abstractNumId w:val="16"/>
  </w:num>
  <w:num w:numId="11" w16cid:durableId="148716241">
    <w:abstractNumId w:val="15"/>
  </w:num>
  <w:num w:numId="12" w16cid:durableId="931862871">
    <w:abstractNumId w:val="5"/>
  </w:num>
  <w:num w:numId="13" w16cid:durableId="1813909438">
    <w:abstractNumId w:val="20"/>
  </w:num>
  <w:num w:numId="14" w16cid:durableId="1873223999">
    <w:abstractNumId w:val="8"/>
  </w:num>
  <w:num w:numId="15" w16cid:durableId="826435936">
    <w:abstractNumId w:val="7"/>
  </w:num>
  <w:num w:numId="16" w16cid:durableId="1813790858">
    <w:abstractNumId w:val="10"/>
  </w:num>
  <w:num w:numId="17" w16cid:durableId="1883127688">
    <w:abstractNumId w:val="18"/>
  </w:num>
  <w:num w:numId="18" w16cid:durableId="89199443">
    <w:abstractNumId w:val="13"/>
  </w:num>
  <w:num w:numId="19" w16cid:durableId="117065359">
    <w:abstractNumId w:val="21"/>
  </w:num>
  <w:num w:numId="20" w16cid:durableId="1362394215">
    <w:abstractNumId w:val="22"/>
  </w:num>
  <w:num w:numId="21" w16cid:durableId="100145295">
    <w:abstractNumId w:val="6"/>
  </w:num>
  <w:num w:numId="22" w16cid:durableId="759639365">
    <w:abstractNumId w:val="14"/>
  </w:num>
  <w:num w:numId="23" w16cid:durableId="329720431">
    <w:abstractNumId w:val="26"/>
  </w:num>
  <w:num w:numId="24" w16cid:durableId="328411733">
    <w:abstractNumId w:val="25"/>
  </w:num>
  <w:num w:numId="25" w16cid:durableId="1331132669">
    <w:abstractNumId w:val="9"/>
  </w:num>
  <w:num w:numId="26" w16cid:durableId="2086103649">
    <w:abstractNumId w:val="2"/>
  </w:num>
  <w:num w:numId="27" w16cid:durableId="160197532">
    <w:abstractNumId w:val="0"/>
  </w:num>
  <w:num w:numId="28" w16cid:durableId="20128316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63"/>
    <w:rsid w:val="00016F32"/>
    <w:rsid w:val="00042E12"/>
    <w:rsid w:val="00057B8A"/>
    <w:rsid w:val="00075F89"/>
    <w:rsid w:val="00097DD7"/>
    <w:rsid w:val="000A0E33"/>
    <w:rsid w:val="000B1ADF"/>
    <w:rsid w:val="000B3F81"/>
    <w:rsid w:val="000E09B5"/>
    <w:rsid w:val="00102B78"/>
    <w:rsid w:val="00116A68"/>
    <w:rsid w:val="001726F9"/>
    <w:rsid w:val="00197824"/>
    <w:rsid w:val="001A7D5D"/>
    <w:rsid w:val="001B3219"/>
    <w:rsid w:val="001B747C"/>
    <w:rsid w:val="001D52B7"/>
    <w:rsid w:val="00207D2F"/>
    <w:rsid w:val="00273DD9"/>
    <w:rsid w:val="002A630A"/>
    <w:rsid w:val="002F3C28"/>
    <w:rsid w:val="003132DB"/>
    <w:rsid w:val="00354FB3"/>
    <w:rsid w:val="00384466"/>
    <w:rsid w:val="003B3D32"/>
    <w:rsid w:val="003B5481"/>
    <w:rsid w:val="003B7C5A"/>
    <w:rsid w:val="003E524C"/>
    <w:rsid w:val="0040572A"/>
    <w:rsid w:val="00420A20"/>
    <w:rsid w:val="004368D7"/>
    <w:rsid w:val="004754F1"/>
    <w:rsid w:val="004C43FD"/>
    <w:rsid w:val="00501F94"/>
    <w:rsid w:val="0053724A"/>
    <w:rsid w:val="005431B0"/>
    <w:rsid w:val="005553BF"/>
    <w:rsid w:val="00564B71"/>
    <w:rsid w:val="00572076"/>
    <w:rsid w:val="005858A1"/>
    <w:rsid w:val="005B5959"/>
    <w:rsid w:val="005B627A"/>
    <w:rsid w:val="005C22F5"/>
    <w:rsid w:val="00612BE6"/>
    <w:rsid w:val="0062088C"/>
    <w:rsid w:val="006476FC"/>
    <w:rsid w:val="006651C4"/>
    <w:rsid w:val="0067283B"/>
    <w:rsid w:val="00672B2C"/>
    <w:rsid w:val="00680485"/>
    <w:rsid w:val="006A0878"/>
    <w:rsid w:val="006A5FE0"/>
    <w:rsid w:val="006B5DBB"/>
    <w:rsid w:val="006D3CF0"/>
    <w:rsid w:val="006F4652"/>
    <w:rsid w:val="007116F0"/>
    <w:rsid w:val="0075467D"/>
    <w:rsid w:val="00764295"/>
    <w:rsid w:val="007959C3"/>
    <w:rsid w:val="007A2AA5"/>
    <w:rsid w:val="007D67D7"/>
    <w:rsid w:val="007E2446"/>
    <w:rsid w:val="00802E03"/>
    <w:rsid w:val="0081777A"/>
    <w:rsid w:val="00837018"/>
    <w:rsid w:val="00842394"/>
    <w:rsid w:val="00854063"/>
    <w:rsid w:val="00884CE4"/>
    <w:rsid w:val="008D71F2"/>
    <w:rsid w:val="009069A4"/>
    <w:rsid w:val="00920C75"/>
    <w:rsid w:val="009266CF"/>
    <w:rsid w:val="00986034"/>
    <w:rsid w:val="009D55F5"/>
    <w:rsid w:val="009E152E"/>
    <w:rsid w:val="009F4F82"/>
    <w:rsid w:val="00A73A8C"/>
    <w:rsid w:val="00A96CE7"/>
    <w:rsid w:val="00AB0FB0"/>
    <w:rsid w:val="00AB7A76"/>
    <w:rsid w:val="00B03169"/>
    <w:rsid w:val="00B24D94"/>
    <w:rsid w:val="00BB6626"/>
    <w:rsid w:val="00BC1A5F"/>
    <w:rsid w:val="00BC7775"/>
    <w:rsid w:val="00BD3F4E"/>
    <w:rsid w:val="00BD5B10"/>
    <w:rsid w:val="00BF62A5"/>
    <w:rsid w:val="00C20C4A"/>
    <w:rsid w:val="00C25EB6"/>
    <w:rsid w:val="00C42F59"/>
    <w:rsid w:val="00C54A01"/>
    <w:rsid w:val="00C63FA0"/>
    <w:rsid w:val="00C92F66"/>
    <w:rsid w:val="00D15EF3"/>
    <w:rsid w:val="00D279FC"/>
    <w:rsid w:val="00D515C9"/>
    <w:rsid w:val="00D56118"/>
    <w:rsid w:val="00D715C5"/>
    <w:rsid w:val="00D8420E"/>
    <w:rsid w:val="00DA1409"/>
    <w:rsid w:val="00DB4EF4"/>
    <w:rsid w:val="00DB7CF7"/>
    <w:rsid w:val="00DC1BAC"/>
    <w:rsid w:val="00DF2A44"/>
    <w:rsid w:val="00E3727C"/>
    <w:rsid w:val="00E552BA"/>
    <w:rsid w:val="00E65A46"/>
    <w:rsid w:val="00E75545"/>
    <w:rsid w:val="00E90EA3"/>
    <w:rsid w:val="00E91EE6"/>
    <w:rsid w:val="00EA7E23"/>
    <w:rsid w:val="00ED2EF3"/>
    <w:rsid w:val="00ED6199"/>
    <w:rsid w:val="00EF61FA"/>
    <w:rsid w:val="00F212BE"/>
    <w:rsid w:val="00F84565"/>
    <w:rsid w:val="00FC0099"/>
    <w:rsid w:val="00FC04B1"/>
    <w:rsid w:val="00FC752C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ACF0"/>
  <w15:chartTrackingRefBased/>
  <w15:docId w15:val="{65CBE02A-E1E3-41D2-8F58-42568714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CF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6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429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C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BAC"/>
  </w:style>
  <w:style w:type="paragraph" w:styleId="Stopka">
    <w:name w:val="footer"/>
    <w:basedOn w:val="Normalny"/>
    <w:link w:val="StopkaZnak"/>
    <w:uiPriority w:val="99"/>
    <w:unhideWhenUsed/>
    <w:rsid w:val="00DC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BAC"/>
  </w:style>
  <w:style w:type="character" w:customStyle="1" w:styleId="apple-converted-space">
    <w:name w:val="apple-converted-space"/>
    <w:basedOn w:val="Domylnaczcionkaakapitu"/>
    <w:rsid w:val="00042E12"/>
  </w:style>
  <w:style w:type="numbering" w:customStyle="1" w:styleId="Biecalista1">
    <w:name w:val="Bieżąca lista1"/>
    <w:uiPriority w:val="99"/>
    <w:rsid w:val="00207D2F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7385-6C7A-424B-9496-4646CB30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1081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Bogacka</dc:creator>
  <cp:keywords/>
  <dc:description/>
  <cp:lastModifiedBy>Marzena Dadasiewicz</cp:lastModifiedBy>
  <cp:revision>8</cp:revision>
  <cp:lastPrinted>2026-01-19T13:27:00Z</cp:lastPrinted>
  <dcterms:created xsi:type="dcterms:W3CDTF">2026-01-30T10:09:00Z</dcterms:created>
  <dcterms:modified xsi:type="dcterms:W3CDTF">2026-02-02T09:23:00Z</dcterms:modified>
</cp:coreProperties>
</file>