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8833" w14:textId="06BBFE5A" w:rsidR="007E76C8" w:rsidRDefault="007E76C8" w:rsidP="007E76C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 w:rsidRPr="008C63A2">
        <w:rPr>
          <w:rFonts w:ascii="LiberationSerif-Bold" w:hAnsi="LiberationSerif-Bold" w:cs="LiberationSerif-Bold"/>
          <w:b/>
          <w:bCs/>
          <w:kern w:val="0"/>
          <w:sz w:val="24"/>
          <w:szCs w:val="24"/>
        </w:rPr>
        <w:t>Usługa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: </w:t>
      </w:r>
      <w:r w:rsidRPr="007E76C8">
        <w:rPr>
          <w:rFonts w:ascii="LiberationSerif-Bold" w:hAnsi="LiberationSerif-Bold" w:cs="LiberationSerif-Bold"/>
          <w:kern w:val="0"/>
          <w:sz w:val="24"/>
          <w:szCs w:val="24"/>
        </w:rPr>
        <w:t>„Zaprawianie materiału siewnego grochu dla ochrony przed askochytozą”</w:t>
      </w:r>
    </w:p>
    <w:p w14:paraId="60BBCFFA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</w:p>
    <w:p w14:paraId="11183AEC" w14:textId="7BE452B2" w:rsidR="008C63A2" w:rsidRDefault="005E3191" w:rsidP="00D176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 w:rsidRPr="008C63A2">
        <w:rPr>
          <w:rFonts w:ascii="LiberationSerif-Bold" w:hAnsi="LiberationSerif-Bold" w:cs="LiberationSerif-Bold"/>
          <w:b/>
          <w:bCs/>
          <w:kern w:val="0"/>
          <w:sz w:val="24"/>
          <w:szCs w:val="24"/>
        </w:rPr>
        <w:t>Opis</w:t>
      </w:r>
      <w:r w:rsidR="007E76C8">
        <w:rPr>
          <w:rFonts w:ascii="LiberationSerif-Bold" w:hAnsi="LiberationSerif-Bold" w:cs="LiberationSerif-Bold"/>
          <w:kern w:val="0"/>
          <w:sz w:val="24"/>
          <w:szCs w:val="24"/>
        </w:rPr>
        <w:t>:</w:t>
      </w:r>
    </w:p>
    <w:p w14:paraId="1AA43873" w14:textId="76DE6719" w:rsidR="006D6A01" w:rsidRDefault="007E76C8" w:rsidP="00D176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>
        <w:rPr>
          <w:rFonts w:ascii="LiberationSerif-Bold" w:hAnsi="LiberationSerif-Bold" w:cs="LiberationSerif-Bold"/>
          <w:kern w:val="0"/>
          <w:sz w:val="24"/>
          <w:szCs w:val="24"/>
        </w:rPr>
        <w:t>Usługa</w:t>
      </w:r>
      <w:r w:rsidR="00FD6F34">
        <w:rPr>
          <w:rFonts w:ascii="LiberationSerif-Bold" w:hAnsi="LiberationSerif-Bold" w:cs="LiberationSerif-Bold"/>
          <w:kern w:val="0"/>
          <w:sz w:val="24"/>
          <w:szCs w:val="24"/>
        </w:rPr>
        <w:t xml:space="preserve"> polega na </w:t>
      </w:r>
      <w:r w:rsidR="009C2C4C">
        <w:rPr>
          <w:rFonts w:ascii="LiberationSerif-Bold" w:hAnsi="LiberationSerif-Bold" w:cs="LiberationSerif-Bold"/>
          <w:kern w:val="0"/>
          <w:sz w:val="24"/>
          <w:szCs w:val="24"/>
        </w:rPr>
        <w:t xml:space="preserve">zaprawianiu nasion grochu nanocząstkami srebra </w:t>
      </w:r>
      <w:r w:rsidR="00FD6F34">
        <w:rPr>
          <w:rFonts w:ascii="LiberationSerif-Bold" w:hAnsi="LiberationSerif-Bold" w:cs="LiberationSerif-Bold"/>
          <w:kern w:val="0"/>
          <w:sz w:val="24"/>
          <w:szCs w:val="24"/>
        </w:rPr>
        <w:t>wytworzon</w:t>
      </w:r>
      <w:r w:rsidR="009C2C4C">
        <w:rPr>
          <w:rFonts w:ascii="LiberationSerif-Bold" w:hAnsi="LiberationSerif-Bold" w:cs="LiberationSerif-Bold"/>
          <w:kern w:val="0"/>
          <w:sz w:val="24"/>
          <w:szCs w:val="24"/>
        </w:rPr>
        <w:t>ymi</w:t>
      </w:r>
      <w:r w:rsidR="00FD6F34"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="009C2C4C">
        <w:rPr>
          <w:rFonts w:ascii="LiberationSerif-Bold" w:hAnsi="LiberationSerif-Bold" w:cs="LiberationSerif-Bold"/>
          <w:kern w:val="0"/>
          <w:sz w:val="24"/>
          <w:szCs w:val="24"/>
        </w:rPr>
        <w:t xml:space="preserve">biologicznie </w:t>
      </w:r>
      <w:r w:rsidR="00340822">
        <w:rPr>
          <w:rFonts w:ascii="LiberationSerif-Bold" w:hAnsi="LiberationSerif-Bold" w:cs="LiberationSerif-Bold"/>
          <w:kern w:val="0"/>
          <w:sz w:val="24"/>
          <w:szCs w:val="24"/>
        </w:rPr>
        <w:t xml:space="preserve">(bio-AgNPs) </w:t>
      </w:r>
      <w:r w:rsidR="00FD6F34">
        <w:rPr>
          <w:rFonts w:ascii="LiberationSerif-Bold" w:hAnsi="LiberationSerif-Bold" w:cs="LiberationSerif-Bold"/>
          <w:kern w:val="0"/>
          <w:sz w:val="24"/>
          <w:szCs w:val="24"/>
        </w:rPr>
        <w:t xml:space="preserve">wg metody opisanej przez </w:t>
      </w:r>
      <w:r w:rsidR="00FD6F34" w:rsidRPr="00D17604">
        <w:rPr>
          <w:rFonts w:ascii="LiberationSerif-Bold" w:hAnsi="LiberationSerif-Bold" w:cs="LiberationSerif-Bold"/>
          <w:kern w:val="0"/>
          <w:sz w:val="24"/>
          <w:szCs w:val="24"/>
        </w:rPr>
        <w:t xml:space="preserve">UMK w Toruniu </w:t>
      </w:r>
      <w:bookmarkStart w:id="0" w:name="_Hlk138239698"/>
      <w:r w:rsidR="00FD6F34" w:rsidRPr="00D17604">
        <w:rPr>
          <w:rFonts w:ascii="LiberationSerif-Bold" w:hAnsi="LiberationSerif-Bold" w:cs="LiberationSerif-Bold"/>
          <w:kern w:val="0"/>
          <w:sz w:val="24"/>
          <w:szCs w:val="24"/>
        </w:rPr>
        <w:t>(P.441585</w:t>
      </w:r>
      <w:bookmarkEnd w:id="0"/>
      <w:r w:rsidR="00FD6F34" w:rsidRPr="00D17604">
        <w:rPr>
          <w:rFonts w:ascii="LiberationSerif-Bold" w:hAnsi="LiberationSerif-Bold" w:cs="LiberationSerif-Bold"/>
          <w:kern w:val="0"/>
          <w:sz w:val="24"/>
          <w:szCs w:val="24"/>
        </w:rPr>
        <w:t>)</w:t>
      </w:r>
      <w:r w:rsidR="00FD6F34">
        <w:rPr>
          <w:rFonts w:ascii="LiberationSerif-Bold" w:hAnsi="LiberationSerif-Bold" w:cs="LiberationSerif-Bold"/>
          <w:kern w:val="0"/>
          <w:sz w:val="24"/>
          <w:szCs w:val="24"/>
        </w:rPr>
        <w:t xml:space="preserve">, </w:t>
      </w:r>
      <w:r w:rsidR="009C2C4C">
        <w:rPr>
          <w:rFonts w:ascii="LiberationSerif-Bold" w:hAnsi="LiberationSerif-Bold" w:cs="LiberationSerif-Bold"/>
          <w:kern w:val="0"/>
          <w:sz w:val="24"/>
          <w:szCs w:val="24"/>
        </w:rPr>
        <w:t xml:space="preserve">w celu ochrony roślin przed patogennym grzybem </w:t>
      </w:r>
      <w:r w:rsidR="00FD6F34" w:rsidRPr="00FD6F34">
        <w:rPr>
          <w:rFonts w:ascii="LiberationSerif-Bold" w:hAnsi="LiberationSerif-Bold" w:cs="LiberationSerif-Bold"/>
          <w:i/>
          <w:iCs/>
          <w:kern w:val="0"/>
          <w:sz w:val="24"/>
          <w:szCs w:val="24"/>
        </w:rPr>
        <w:t>Didymella pinodes</w:t>
      </w:r>
      <w:r w:rsidR="00FD6F34" w:rsidRPr="00FD6F34">
        <w:rPr>
          <w:rFonts w:ascii="LiberationSerif-Bold" w:hAnsi="LiberationSerif-Bold" w:cs="LiberationSerif-Bold"/>
          <w:kern w:val="0"/>
          <w:sz w:val="24"/>
          <w:szCs w:val="24"/>
        </w:rPr>
        <w:t>, wywołując</w:t>
      </w:r>
      <w:r w:rsidR="009C2C4C">
        <w:rPr>
          <w:rFonts w:ascii="LiberationSerif-Bold" w:hAnsi="LiberationSerif-Bold" w:cs="LiberationSerif-Bold"/>
          <w:kern w:val="0"/>
          <w:sz w:val="24"/>
          <w:szCs w:val="24"/>
        </w:rPr>
        <w:t>ym</w:t>
      </w:r>
      <w:r w:rsidR="00FD6F34" w:rsidRPr="00FD6F34"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="005E3191" w:rsidRPr="00FD6F34">
        <w:rPr>
          <w:rFonts w:ascii="LiberationSerif-Bold" w:hAnsi="LiberationSerif-Bold" w:cs="LiberationSerif-Bold"/>
          <w:kern w:val="0"/>
          <w:sz w:val="24"/>
          <w:szCs w:val="24"/>
        </w:rPr>
        <w:t>askochytozę (zgorzelową plamistość</w:t>
      </w:r>
      <w:r w:rsidR="005E3191">
        <w:rPr>
          <w:rFonts w:ascii="LiberationSerif-Bold" w:hAnsi="LiberationSerif-Bold" w:cs="LiberationSerif-Bold"/>
          <w:kern w:val="0"/>
          <w:sz w:val="24"/>
          <w:szCs w:val="24"/>
        </w:rPr>
        <w:t>)</w:t>
      </w:r>
      <w:r w:rsidR="005E3191" w:rsidRPr="00FD6F34"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="00FD6F34" w:rsidRPr="00FD6F34">
        <w:rPr>
          <w:rFonts w:ascii="LiberationSerif-Bold" w:hAnsi="LiberationSerif-Bold" w:cs="LiberationSerif-Bold"/>
          <w:kern w:val="0"/>
          <w:sz w:val="24"/>
          <w:szCs w:val="24"/>
        </w:rPr>
        <w:t>u roślin z rodziny bobowatych.</w:t>
      </w:r>
    </w:p>
    <w:p w14:paraId="193B152E" w14:textId="77777777" w:rsidR="007E76C8" w:rsidRDefault="007E76C8" w:rsidP="00D176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</w:p>
    <w:p w14:paraId="2C3ADA32" w14:textId="4C541855" w:rsidR="00FD6F34" w:rsidRDefault="00FD6F34" w:rsidP="007E76C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>
        <w:rPr>
          <w:rFonts w:ascii="LiberationSerif-Bold" w:hAnsi="LiberationSerif-Bold" w:cs="LiberationSerif-Bold"/>
          <w:kern w:val="0"/>
          <w:sz w:val="24"/>
          <w:szCs w:val="24"/>
        </w:rPr>
        <w:t>Zapobieganie infekcji roślin prze</w:t>
      </w:r>
      <w:r w:rsidR="007E76C8">
        <w:rPr>
          <w:rFonts w:ascii="LiberationSerif-Bold" w:hAnsi="LiberationSerif-Bold" w:cs="LiberationSerif-Bold"/>
          <w:kern w:val="0"/>
          <w:sz w:val="24"/>
          <w:szCs w:val="24"/>
        </w:rPr>
        <w:t>d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Pr="00FD6F34">
        <w:rPr>
          <w:rFonts w:ascii="LiberationSerif-Bold" w:hAnsi="LiberationSerif-Bold" w:cs="LiberationSerif-Bold"/>
          <w:i/>
          <w:iCs/>
          <w:kern w:val="0"/>
          <w:sz w:val="24"/>
          <w:szCs w:val="24"/>
        </w:rPr>
        <w:t>D. pinodes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 uzyskuje się przez przedsiewne zaprawianie nasion </w:t>
      </w:r>
      <w:r w:rsidR="009C2C4C">
        <w:rPr>
          <w:rFonts w:ascii="LiberationSerif-Bold" w:hAnsi="LiberationSerif-Bold" w:cs="LiberationSerif-Bold"/>
          <w:kern w:val="0"/>
          <w:sz w:val="24"/>
          <w:szCs w:val="24"/>
        </w:rPr>
        <w:t>(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obejmujące ich namoczenie </w:t>
      </w:r>
      <w:r w:rsidR="009C2C4C">
        <w:rPr>
          <w:rFonts w:ascii="LiberationSerif-Bold" w:hAnsi="LiberationSerif-Bold" w:cs="LiberationSerif-Bold"/>
          <w:kern w:val="0"/>
          <w:sz w:val="24"/>
          <w:szCs w:val="24"/>
        </w:rPr>
        <w:t xml:space="preserve">i odpowiednie wysuszenie) 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w zawiesinie </w:t>
      </w:r>
      <w:r w:rsidR="007E76C8">
        <w:rPr>
          <w:rFonts w:ascii="LiberationSerif-Bold" w:hAnsi="LiberationSerif-Bold" w:cs="LiberationSerif-Bold"/>
          <w:kern w:val="0"/>
          <w:sz w:val="24"/>
          <w:szCs w:val="24"/>
        </w:rPr>
        <w:t>nanocząstek srebra</w:t>
      </w:r>
      <w:r w:rsidR="005E3191">
        <w:rPr>
          <w:rFonts w:ascii="LiberationSerif-Bold" w:hAnsi="LiberationSerif-Bold" w:cs="LiberationSerif-Bold"/>
          <w:kern w:val="0"/>
          <w:sz w:val="24"/>
          <w:szCs w:val="24"/>
        </w:rPr>
        <w:t>.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 Tak przygotowany materiał nasienny może być przechowywany przez kilka miesięcy bez utraty jakości fizjologicznej nasion. </w:t>
      </w:r>
      <w:r w:rsidR="005E3191">
        <w:rPr>
          <w:rFonts w:ascii="LiberationSerif-Bold" w:hAnsi="LiberationSerif-Bold" w:cs="LiberationSerif-Bold"/>
          <w:kern w:val="0"/>
          <w:sz w:val="24"/>
          <w:szCs w:val="24"/>
        </w:rPr>
        <w:t xml:space="preserve">Skuteczność </w:t>
      </w:r>
      <w:r w:rsidR="007E76C8">
        <w:rPr>
          <w:rFonts w:ascii="LiberationSerif-Bold" w:hAnsi="LiberationSerif-Bold" w:cs="LiberationSerif-Bold"/>
          <w:kern w:val="0"/>
          <w:sz w:val="24"/>
          <w:szCs w:val="24"/>
        </w:rPr>
        <w:t xml:space="preserve">grzybobójcza zawiesiny nanocząstek srebra jest </w:t>
      </w:r>
      <w:r w:rsidR="005E3191">
        <w:rPr>
          <w:rFonts w:ascii="LiberationSerif-Bold" w:hAnsi="LiberationSerif-Bold" w:cs="LiberationSerif-Bold"/>
          <w:kern w:val="0"/>
          <w:sz w:val="24"/>
          <w:szCs w:val="24"/>
        </w:rPr>
        <w:t>na poziomie typowych fungicydów</w:t>
      </w:r>
      <w:r w:rsidR="007E76C8">
        <w:rPr>
          <w:rFonts w:ascii="LiberationSerif-Bold" w:hAnsi="LiberationSerif-Bold" w:cs="LiberationSerif-Bold"/>
          <w:kern w:val="0"/>
          <w:sz w:val="24"/>
          <w:szCs w:val="24"/>
        </w:rPr>
        <w:t>.</w:t>
      </w:r>
      <w:r w:rsidR="008C63A2"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="005E3191">
        <w:rPr>
          <w:rFonts w:ascii="LiberationSerif-Bold" w:hAnsi="LiberationSerif-Bold" w:cs="LiberationSerif-Bold"/>
          <w:kern w:val="0"/>
          <w:sz w:val="24"/>
          <w:szCs w:val="24"/>
        </w:rPr>
        <w:t xml:space="preserve">Traktowanie nasion AgNPs zapobiega rozwojowi choroby zarówno z zarodników obecnych na materiale nasiennym jak i przed infekcją roślin podczas wegetacji. Zastosowanie AgNPs nie powoduje spadku plonu grochu. </w:t>
      </w:r>
    </w:p>
    <w:p w14:paraId="68D18A13" w14:textId="77777777" w:rsidR="00FB7CF6" w:rsidRDefault="00FB7CF6" w:rsidP="00D1760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</w:p>
    <w:p w14:paraId="31B22E42" w14:textId="77777777" w:rsidR="008C63A2" w:rsidRDefault="00DC0948" w:rsidP="00FB7CF6">
      <w:pPr>
        <w:autoSpaceDE w:val="0"/>
        <w:autoSpaceDN w:val="0"/>
        <w:adjustRightInd w:val="0"/>
        <w:spacing w:after="0" w:line="240" w:lineRule="auto"/>
      </w:pPr>
      <w:r w:rsidRPr="008C63A2">
        <w:rPr>
          <w:b/>
          <w:bCs/>
        </w:rPr>
        <w:t>Ochrona rozwiązania</w:t>
      </w:r>
      <w:r>
        <w:t xml:space="preserve">: </w:t>
      </w:r>
    </w:p>
    <w:p w14:paraId="49AAF9E8" w14:textId="69991B1E" w:rsidR="00FB7CF6" w:rsidRDefault="00DC0948" w:rsidP="00FB7CF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>
        <w:t xml:space="preserve">zgłoszenie do Urzędu Patentowego </w:t>
      </w:r>
      <w:r w:rsidR="00FB7CF6" w:rsidRPr="00D17604">
        <w:rPr>
          <w:rFonts w:ascii="LiberationSerif-Bold" w:hAnsi="LiberationSerif-Bold" w:cs="LiberationSerif-Bold"/>
          <w:kern w:val="0"/>
          <w:sz w:val="24"/>
          <w:szCs w:val="24"/>
        </w:rPr>
        <w:t xml:space="preserve">(P.445104). </w:t>
      </w:r>
    </w:p>
    <w:p w14:paraId="42063842" w14:textId="77777777" w:rsidR="00DC0948" w:rsidRDefault="00DC0948" w:rsidP="00FB7CF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</w:p>
    <w:p w14:paraId="32FD45C2" w14:textId="77777777" w:rsidR="008C63A2" w:rsidRDefault="00FB7CF6" w:rsidP="00FB7CF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 w:rsidRPr="008C63A2">
        <w:rPr>
          <w:rFonts w:ascii="LiberationSerif-Bold" w:hAnsi="LiberationSerif-Bold" w:cs="LiberationSerif-Bold"/>
          <w:b/>
          <w:bCs/>
          <w:kern w:val="0"/>
          <w:sz w:val="24"/>
          <w:szCs w:val="24"/>
        </w:rPr>
        <w:t>Uprawniony do wynalazku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: </w:t>
      </w:r>
    </w:p>
    <w:p w14:paraId="3F420E8D" w14:textId="1BA56415" w:rsidR="00FB7CF6" w:rsidRDefault="00FB7CF6" w:rsidP="00FB7CF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>
        <w:rPr>
          <w:rFonts w:ascii="LiberationSerif-Bold" w:hAnsi="LiberationSerif-Bold" w:cs="LiberationSerif-Bold"/>
          <w:kern w:val="0"/>
          <w:sz w:val="24"/>
          <w:szCs w:val="24"/>
        </w:rPr>
        <w:t>Uniwersytet Warmińsko-Mazurski w Olsztynie</w:t>
      </w:r>
    </w:p>
    <w:p w14:paraId="0AF2CADE" w14:textId="77777777" w:rsidR="00DC0948" w:rsidRDefault="00DC0948" w:rsidP="00FB7CF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</w:p>
    <w:p w14:paraId="2F8CFC1A" w14:textId="0DA48739" w:rsidR="008C63A2" w:rsidRDefault="00FB7CF6" w:rsidP="00FB7CF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 w:rsidRPr="008C63A2">
        <w:rPr>
          <w:rFonts w:ascii="LiberationSerif-Bold" w:hAnsi="LiberationSerif-Bold" w:cs="LiberationSerif-Bold"/>
          <w:b/>
          <w:bCs/>
          <w:kern w:val="0"/>
          <w:sz w:val="24"/>
          <w:szCs w:val="24"/>
        </w:rPr>
        <w:t>Twórcy</w:t>
      </w:r>
      <w:r w:rsidR="008C63A2">
        <w:rPr>
          <w:rFonts w:ascii="LiberationSerif-Bold" w:hAnsi="LiberationSerif-Bold" w:cs="LiberationSerif-Bold"/>
          <w:kern w:val="0"/>
          <w:sz w:val="24"/>
          <w:szCs w:val="24"/>
        </w:rPr>
        <w:t>:</w:t>
      </w:r>
    </w:p>
    <w:p w14:paraId="643505D2" w14:textId="5BC0C724" w:rsidR="00FB7CF6" w:rsidRDefault="00DC0948" w:rsidP="00FB7CF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>
        <w:t>prof. dr hab.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="00FB7CF6">
        <w:rPr>
          <w:rFonts w:ascii="LiberationSerif-Bold" w:hAnsi="LiberationSerif-Bold" w:cs="LiberationSerif-Bold"/>
          <w:kern w:val="0"/>
          <w:sz w:val="24"/>
          <w:szCs w:val="24"/>
        </w:rPr>
        <w:t xml:space="preserve">Lesław Bernard Lahuta, </w:t>
      </w:r>
      <w:r w:rsidRPr="00DC0948">
        <w:rPr>
          <w:rFonts w:ascii="LiberationSerif-Bold" w:hAnsi="LiberationSerif-Bold" w:cs="LiberationSerif-Bold"/>
          <w:kern w:val="0"/>
          <w:sz w:val="24"/>
          <w:szCs w:val="24"/>
        </w:rPr>
        <w:t>dr hab. inż. Adam Okorski, prof. UWM</w:t>
      </w:r>
      <w:r w:rsidR="00FB7CF6">
        <w:rPr>
          <w:rFonts w:ascii="LiberationSerif-Bold" w:hAnsi="LiberationSerif-Bold" w:cs="LiberationSerif-Bold"/>
          <w:kern w:val="0"/>
          <w:sz w:val="24"/>
          <w:szCs w:val="24"/>
        </w:rPr>
        <w:t xml:space="preserve">, </w:t>
      </w:r>
      <w:r>
        <w:t>mgr inż.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  </w:t>
      </w:r>
      <w:r w:rsidR="00FB7CF6">
        <w:rPr>
          <w:rFonts w:ascii="LiberationSerif-Bold" w:hAnsi="LiberationSerif-Bold" w:cs="LiberationSerif-Bold"/>
          <w:kern w:val="0"/>
          <w:sz w:val="24"/>
          <w:szCs w:val="24"/>
        </w:rPr>
        <w:t xml:space="preserve">Karolina Stałanowska, </w:t>
      </w:r>
      <w:r>
        <w:t>dr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="00FB7CF6">
        <w:rPr>
          <w:rFonts w:ascii="LiberationSerif-Bold" w:hAnsi="LiberationSerif-Bold" w:cs="LiberationSerif-Bold"/>
          <w:kern w:val="0"/>
          <w:sz w:val="24"/>
          <w:szCs w:val="24"/>
        </w:rPr>
        <w:t xml:space="preserve">Joanna Szablińska-Piernik, </w:t>
      </w:r>
      <w:r>
        <w:t>prof. dr hab.</w:t>
      </w:r>
      <w:r>
        <w:rPr>
          <w:rFonts w:ascii="LiberationSerif-Bold" w:hAnsi="LiberationSerif-Bold" w:cs="LiberationSerif-Bold"/>
          <w:kern w:val="0"/>
          <w:sz w:val="24"/>
          <w:szCs w:val="24"/>
        </w:rPr>
        <w:t xml:space="preserve"> </w:t>
      </w:r>
      <w:r w:rsidR="00FB7CF6">
        <w:rPr>
          <w:rFonts w:ascii="LiberationSerif-Bold" w:hAnsi="LiberationSerif-Bold" w:cs="LiberationSerif-Bold"/>
          <w:kern w:val="0"/>
          <w:sz w:val="24"/>
          <w:szCs w:val="24"/>
        </w:rPr>
        <w:t>Marcin Horbowicz</w:t>
      </w:r>
    </w:p>
    <w:p w14:paraId="1EC5B6D7" w14:textId="77777777" w:rsidR="00FB7CF6" w:rsidRDefault="00FB7CF6" w:rsidP="00D17604">
      <w:pPr>
        <w:autoSpaceDE w:val="0"/>
        <w:autoSpaceDN w:val="0"/>
        <w:adjustRightInd w:val="0"/>
        <w:spacing w:after="0" w:line="240" w:lineRule="auto"/>
      </w:pPr>
    </w:p>
    <w:p w14:paraId="767F9920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7B36E7C2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5615814D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49E74591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5A1454C5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2AA08973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1B504B66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4CA1851C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1CA1926B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6F08DD19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07133C60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7FCEFA87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10167D0F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25649151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6F54CB8F" w14:textId="77777777" w:rsidR="00DE52F5" w:rsidRDefault="00DE52F5" w:rsidP="00D17604">
      <w:pPr>
        <w:autoSpaceDE w:val="0"/>
        <w:autoSpaceDN w:val="0"/>
        <w:adjustRightInd w:val="0"/>
        <w:spacing w:after="0" w:line="240" w:lineRule="auto"/>
      </w:pPr>
    </w:p>
    <w:p w14:paraId="744878A4" w14:textId="77777777" w:rsidR="00DE52F5" w:rsidRDefault="00DE52F5" w:rsidP="00DE52F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kern w:val="0"/>
          <w:sz w:val="24"/>
          <w:szCs w:val="24"/>
        </w:rPr>
      </w:pPr>
      <w:r>
        <w:rPr>
          <w:rFonts w:ascii="LiberationSerif-Bold" w:hAnsi="LiberationSerif-Bold" w:cs="LiberationSerif-Bold"/>
          <w:kern w:val="0"/>
          <w:sz w:val="24"/>
          <w:szCs w:val="24"/>
        </w:rPr>
        <w:t>Usługa świadczona przez UWM w Olsztynie:</w:t>
      </w:r>
    </w:p>
    <w:p w14:paraId="12DA2917" w14:textId="77777777" w:rsidR="00DE52F5" w:rsidRPr="00FD6F34" w:rsidRDefault="00DE52F5" w:rsidP="00D17604">
      <w:pPr>
        <w:autoSpaceDE w:val="0"/>
        <w:autoSpaceDN w:val="0"/>
        <w:adjustRightInd w:val="0"/>
        <w:spacing w:after="0" w:line="240" w:lineRule="auto"/>
      </w:pPr>
    </w:p>
    <w:sectPr w:rsidR="00DE52F5" w:rsidRPr="00FD6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C4BB" w14:textId="77777777" w:rsidR="00F66595" w:rsidRDefault="00F66595" w:rsidP="00D14ECD">
      <w:pPr>
        <w:spacing w:after="0" w:line="240" w:lineRule="auto"/>
      </w:pPr>
      <w:r>
        <w:separator/>
      </w:r>
    </w:p>
  </w:endnote>
  <w:endnote w:type="continuationSeparator" w:id="0">
    <w:p w14:paraId="50089A83" w14:textId="77777777" w:rsidR="00F66595" w:rsidRDefault="00F66595" w:rsidP="00D1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09C2" w14:textId="5AED90B2" w:rsidR="00D14ECD" w:rsidRDefault="00D14ECD" w:rsidP="00D14ECD">
    <w:pPr>
      <w:pStyle w:val="Stopka"/>
      <w:jc w:val="center"/>
    </w:pPr>
    <w:r w:rsidRPr="005E7EF1">
      <w:rPr>
        <w:rFonts w:cstheme="minorHAnsi"/>
        <w:sz w:val="20"/>
        <w:szCs w:val="20"/>
      </w:rPr>
      <w:t>Projekt współfinansowany przez Unię Europejską w ramach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53BC" w14:textId="77777777" w:rsidR="00F66595" w:rsidRDefault="00F66595" w:rsidP="00D14ECD">
      <w:pPr>
        <w:spacing w:after="0" w:line="240" w:lineRule="auto"/>
      </w:pPr>
      <w:r>
        <w:separator/>
      </w:r>
    </w:p>
  </w:footnote>
  <w:footnote w:type="continuationSeparator" w:id="0">
    <w:p w14:paraId="066B0B21" w14:textId="77777777" w:rsidR="00F66595" w:rsidRDefault="00F66595" w:rsidP="00D1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5A0" w14:textId="634259CA" w:rsidR="00D14ECD" w:rsidRDefault="00D14ECD">
    <w:pPr>
      <w:pStyle w:val="Nagwek"/>
    </w:pPr>
    <w:r>
      <w:rPr>
        <w:noProof/>
      </w:rPr>
      <w:drawing>
        <wp:inline distT="0" distB="0" distL="0" distR="0" wp14:anchorId="037B92A6" wp14:editId="2E62444E">
          <wp:extent cx="5760720" cy="768350"/>
          <wp:effectExtent l="0" t="0" r="0" b="0"/>
          <wp:docPr id="3" name="Obraz 3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biały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04"/>
    <w:rsid w:val="00340822"/>
    <w:rsid w:val="004B437D"/>
    <w:rsid w:val="005E3191"/>
    <w:rsid w:val="006D6A01"/>
    <w:rsid w:val="007E76C8"/>
    <w:rsid w:val="008B5FDA"/>
    <w:rsid w:val="008C63A2"/>
    <w:rsid w:val="008D5455"/>
    <w:rsid w:val="009C2C4C"/>
    <w:rsid w:val="00AC6A5A"/>
    <w:rsid w:val="00D14ECD"/>
    <w:rsid w:val="00D17604"/>
    <w:rsid w:val="00DC0948"/>
    <w:rsid w:val="00DE52F5"/>
    <w:rsid w:val="00DF37B7"/>
    <w:rsid w:val="00F66595"/>
    <w:rsid w:val="00FB7CF6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B6A"/>
  <w15:chartTrackingRefBased/>
  <w15:docId w15:val="{65DFDA48-950F-44C3-B912-79CF80C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CD"/>
  </w:style>
  <w:style w:type="paragraph" w:styleId="Stopka">
    <w:name w:val="footer"/>
    <w:basedOn w:val="Normalny"/>
    <w:link w:val="StopkaZnak"/>
    <w:uiPriority w:val="99"/>
    <w:unhideWhenUsed/>
    <w:rsid w:val="00D1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Lahuta</dc:creator>
  <cp:keywords/>
  <dc:description/>
  <cp:lastModifiedBy>Marzena Dadasiewicz</cp:lastModifiedBy>
  <cp:revision>2</cp:revision>
  <dcterms:created xsi:type="dcterms:W3CDTF">2023-09-28T10:45:00Z</dcterms:created>
  <dcterms:modified xsi:type="dcterms:W3CDTF">2023-09-28T10:45:00Z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49f8b2d5-60d4-4410-a63a-c0d7f5b6d885</vt:lpwstr>
  </property>
</Properties>
</file>